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407E" w14:textId="77777777" w:rsidR="006F5FD0" w:rsidRPr="00050E5E" w:rsidRDefault="006F5FD0" w:rsidP="00050E5E">
      <w:pPr>
        <w:jc w:val="center"/>
        <w:rPr>
          <w:rStyle w:val="Strong"/>
          <w:sz w:val="28"/>
          <w:szCs w:val="28"/>
          <w:lang w:val="en-GB"/>
        </w:rPr>
      </w:pPr>
      <w:r w:rsidRPr="00050E5E">
        <w:rPr>
          <w:b/>
          <w:sz w:val="28"/>
          <w:szCs w:val="28"/>
          <w:lang w:val="en-GB"/>
        </w:rPr>
        <w:t xml:space="preserve">SERVICE </w:t>
      </w:r>
      <w:r w:rsidR="00FA17FC" w:rsidRPr="00050E5E">
        <w:rPr>
          <w:b/>
          <w:sz w:val="28"/>
          <w:szCs w:val="28"/>
          <w:lang w:val="en-GB"/>
        </w:rPr>
        <w:t xml:space="preserve">CONTRACT </w:t>
      </w:r>
      <w:r w:rsidRPr="00050E5E">
        <w:rPr>
          <w:b/>
          <w:sz w:val="28"/>
          <w:szCs w:val="28"/>
          <w:lang w:val="en-GB"/>
        </w:rPr>
        <w:t>NOTICE</w:t>
      </w:r>
    </w:p>
    <w:p w14:paraId="3363FF0F" w14:textId="2BE13F34" w:rsidR="006F5FD0" w:rsidRPr="00050E5E" w:rsidRDefault="00BF6C25" w:rsidP="00050E5E">
      <w:pPr>
        <w:jc w:val="center"/>
        <w:rPr>
          <w:sz w:val="28"/>
          <w:szCs w:val="28"/>
          <w:lang w:val="en-GB"/>
        </w:rPr>
      </w:pPr>
      <w:bookmarkStart w:id="0" w:name="_Hlk95450597"/>
      <w:r w:rsidRPr="00050E5E">
        <w:rPr>
          <w:rStyle w:val="Strong"/>
          <w:sz w:val="28"/>
          <w:szCs w:val="28"/>
          <w:lang w:val="en-GB"/>
        </w:rPr>
        <w:t xml:space="preserve">Pilot projects </w:t>
      </w:r>
      <w:r w:rsidR="007F5C73" w:rsidRPr="00050E5E">
        <w:rPr>
          <w:rStyle w:val="Strong"/>
          <w:sz w:val="28"/>
          <w:szCs w:val="28"/>
          <w:lang w:val="en-GB"/>
        </w:rPr>
        <w:t xml:space="preserve">for accessible tourism </w:t>
      </w:r>
      <w:r w:rsidRPr="00050E5E">
        <w:rPr>
          <w:rStyle w:val="Strong"/>
          <w:sz w:val="28"/>
          <w:szCs w:val="28"/>
          <w:lang w:val="en-GB"/>
        </w:rPr>
        <w:t xml:space="preserve">implementation and </w:t>
      </w:r>
      <w:r w:rsidR="00A90227">
        <w:rPr>
          <w:rStyle w:val="Strong"/>
          <w:sz w:val="28"/>
          <w:szCs w:val="28"/>
          <w:lang w:val="en-GB"/>
        </w:rPr>
        <w:t>promotion</w:t>
      </w:r>
      <w:r w:rsidR="006F5FD0" w:rsidRPr="00050E5E">
        <w:rPr>
          <w:rStyle w:val="Strong"/>
          <w:sz w:val="28"/>
          <w:szCs w:val="28"/>
          <w:lang w:val="en-GB"/>
        </w:rPr>
        <w:br/>
      </w:r>
      <w:bookmarkEnd w:id="0"/>
      <w:r w:rsidR="007F5C73" w:rsidRPr="00050E5E">
        <w:rPr>
          <w:rStyle w:val="Strong"/>
          <w:sz w:val="28"/>
          <w:szCs w:val="28"/>
          <w:lang w:val="en-GB"/>
        </w:rPr>
        <w:t>Pelagonia region, Republic of North Macedonia</w:t>
      </w:r>
    </w:p>
    <w:p w14:paraId="1E3CC1C3" w14:textId="77777777" w:rsidR="00571687" w:rsidRPr="00050E5E" w:rsidRDefault="00571687" w:rsidP="00050E5E">
      <w:pPr>
        <w:ind w:left="709" w:hanging="349"/>
        <w:outlineLvl w:val="0"/>
        <w:rPr>
          <w:rStyle w:val="Strong"/>
          <w:sz w:val="22"/>
          <w:szCs w:val="22"/>
          <w:lang w:val="en-GB"/>
        </w:rPr>
      </w:pPr>
    </w:p>
    <w:p w14:paraId="1BE20B1E" w14:textId="77777777" w:rsidR="006F5FD0" w:rsidRPr="00050E5E" w:rsidRDefault="007727F3" w:rsidP="00050E5E">
      <w:pPr>
        <w:ind w:left="709" w:hanging="349"/>
        <w:outlineLvl w:val="0"/>
        <w:rPr>
          <w:sz w:val="22"/>
          <w:szCs w:val="22"/>
          <w:lang w:val="en-GB"/>
        </w:rPr>
      </w:pPr>
      <w:r w:rsidRPr="00050E5E">
        <w:rPr>
          <w:rStyle w:val="Strong"/>
          <w:sz w:val="22"/>
          <w:szCs w:val="22"/>
          <w:lang w:val="en-GB"/>
        </w:rPr>
        <w:t>1.</w:t>
      </w:r>
      <w:r w:rsidR="00584BF4" w:rsidRPr="00050E5E">
        <w:rPr>
          <w:rStyle w:val="Strong"/>
          <w:sz w:val="22"/>
          <w:szCs w:val="22"/>
          <w:lang w:val="en-GB"/>
        </w:rPr>
        <w:tab/>
      </w:r>
      <w:r w:rsidR="00632BDC" w:rsidRPr="00050E5E">
        <w:rPr>
          <w:rStyle w:val="Strong"/>
          <w:sz w:val="22"/>
          <w:szCs w:val="22"/>
          <w:lang w:val="en-GB"/>
        </w:rPr>
        <w:t>R</w:t>
      </w:r>
      <w:r w:rsidR="006F5FD0" w:rsidRPr="00050E5E">
        <w:rPr>
          <w:rStyle w:val="Strong"/>
          <w:sz w:val="22"/>
          <w:szCs w:val="22"/>
          <w:lang w:val="en-GB"/>
        </w:rPr>
        <w:t>eference</w:t>
      </w:r>
    </w:p>
    <w:p w14:paraId="49D136FE" w14:textId="74BAED54" w:rsidR="006F5FD0" w:rsidRPr="00050E5E" w:rsidRDefault="007F5C73" w:rsidP="00050E5E">
      <w:pPr>
        <w:pStyle w:val="Blockquote"/>
        <w:rPr>
          <w:i/>
          <w:sz w:val="22"/>
          <w:szCs w:val="22"/>
          <w:lang w:val="en-GB"/>
        </w:rPr>
      </w:pPr>
      <w:r w:rsidRPr="00050E5E">
        <w:rPr>
          <w:rStyle w:val="Emphasis"/>
          <w:i w:val="0"/>
          <w:sz w:val="22"/>
          <w:szCs w:val="22"/>
          <w:lang w:val="en-GB"/>
        </w:rPr>
        <w:t>AT-4</w:t>
      </w:r>
    </w:p>
    <w:p w14:paraId="7A3797D8" w14:textId="77777777" w:rsidR="006F5FD0" w:rsidRPr="00050E5E" w:rsidRDefault="007727F3" w:rsidP="00050E5E">
      <w:pPr>
        <w:ind w:left="709" w:hanging="349"/>
        <w:outlineLvl w:val="0"/>
        <w:rPr>
          <w:sz w:val="22"/>
          <w:szCs w:val="22"/>
          <w:lang w:val="en-GB"/>
        </w:rPr>
      </w:pPr>
      <w:r w:rsidRPr="00050E5E">
        <w:rPr>
          <w:rStyle w:val="Strong"/>
          <w:sz w:val="22"/>
          <w:szCs w:val="22"/>
          <w:lang w:val="en-GB"/>
        </w:rPr>
        <w:t>2.</w:t>
      </w:r>
      <w:r w:rsidR="00584BF4" w:rsidRPr="00050E5E">
        <w:rPr>
          <w:rStyle w:val="Strong"/>
          <w:sz w:val="22"/>
          <w:szCs w:val="22"/>
          <w:lang w:val="en-GB"/>
        </w:rPr>
        <w:tab/>
      </w:r>
      <w:r w:rsidR="006F5FD0" w:rsidRPr="00050E5E">
        <w:rPr>
          <w:rStyle w:val="Strong"/>
          <w:sz w:val="22"/>
          <w:szCs w:val="22"/>
          <w:lang w:val="en-GB"/>
        </w:rPr>
        <w:t>Procedure</w:t>
      </w:r>
    </w:p>
    <w:p w14:paraId="41C9370C" w14:textId="631A9190" w:rsidR="006F5FD0" w:rsidRPr="00050E5E" w:rsidRDefault="00AD1E4D" w:rsidP="00050E5E">
      <w:pPr>
        <w:pStyle w:val="Blockquote"/>
        <w:ind w:left="0" w:firstLine="360"/>
        <w:jc w:val="both"/>
        <w:rPr>
          <w:sz w:val="22"/>
          <w:szCs w:val="22"/>
          <w:lang w:val="en-GB"/>
        </w:rPr>
      </w:pPr>
      <w:r w:rsidRPr="00050E5E">
        <w:rPr>
          <w:sz w:val="22"/>
          <w:szCs w:val="22"/>
          <w:lang w:val="en-GB"/>
        </w:rPr>
        <w:t>Simplified</w:t>
      </w:r>
    </w:p>
    <w:p w14:paraId="5F51B1AE" w14:textId="77777777" w:rsidR="00971962" w:rsidRPr="00050E5E" w:rsidRDefault="006F5FD0" w:rsidP="00050E5E">
      <w:pPr>
        <w:ind w:left="709" w:hanging="349"/>
        <w:outlineLvl w:val="0"/>
        <w:rPr>
          <w:b/>
          <w:sz w:val="22"/>
          <w:szCs w:val="22"/>
          <w:lang w:val="en-GB"/>
        </w:rPr>
      </w:pPr>
      <w:r w:rsidRPr="00050E5E">
        <w:rPr>
          <w:rStyle w:val="Strong"/>
          <w:sz w:val="22"/>
          <w:szCs w:val="22"/>
          <w:lang w:val="en-GB"/>
        </w:rPr>
        <w:t xml:space="preserve">3. </w:t>
      </w:r>
      <w:r w:rsidR="00584BF4" w:rsidRPr="00050E5E">
        <w:rPr>
          <w:rStyle w:val="Strong"/>
          <w:sz w:val="22"/>
          <w:szCs w:val="22"/>
          <w:lang w:val="en-GB"/>
        </w:rPr>
        <w:tab/>
      </w:r>
      <w:r w:rsidRPr="00050E5E">
        <w:rPr>
          <w:rStyle w:val="Strong"/>
          <w:sz w:val="22"/>
          <w:szCs w:val="22"/>
          <w:lang w:val="en-GB"/>
        </w:rPr>
        <w:t>Programme</w:t>
      </w:r>
      <w:r w:rsidR="00971962" w:rsidRPr="00050E5E">
        <w:rPr>
          <w:rStyle w:val="Strong"/>
          <w:sz w:val="22"/>
          <w:szCs w:val="22"/>
          <w:lang w:val="en-GB"/>
        </w:rPr>
        <w:t xml:space="preserve"> title</w:t>
      </w:r>
    </w:p>
    <w:p w14:paraId="5C1A56BF" w14:textId="1F6E5810" w:rsidR="00971962" w:rsidRPr="00050E5E" w:rsidRDefault="007F5C73" w:rsidP="00050E5E">
      <w:pPr>
        <w:pStyle w:val="PRAGHeading2"/>
        <w:numPr>
          <w:ilvl w:val="0"/>
          <w:numId w:val="0"/>
        </w:numPr>
        <w:ind w:left="357" w:right="357"/>
        <w:rPr>
          <w:lang w:val="en-GB"/>
        </w:rPr>
      </w:pPr>
      <w:r w:rsidRPr="00050E5E">
        <w:rPr>
          <w:lang w:val="en-GB"/>
        </w:rPr>
        <w:t xml:space="preserve">Interreg IPA </w:t>
      </w:r>
      <w:r w:rsidR="00B56366" w:rsidRPr="00050E5E">
        <w:rPr>
          <w:lang w:val="en-GB"/>
        </w:rPr>
        <w:t>Programme for Cross-Border-Cooperation “Greece-Republic of North Macedonia 2014-2020”</w:t>
      </w:r>
    </w:p>
    <w:p w14:paraId="797EC4DC"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 xml:space="preserve">4. </w:t>
      </w:r>
      <w:r w:rsidR="00584BF4" w:rsidRPr="00050E5E">
        <w:rPr>
          <w:rStyle w:val="Strong"/>
          <w:sz w:val="22"/>
          <w:szCs w:val="22"/>
          <w:lang w:val="en-GB"/>
        </w:rPr>
        <w:tab/>
      </w:r>
      <w:r w:rsidRPr="00050E5E">
        <w:rPr>
          <w:rStyle w:val="Strong"/>
          <w:sz w:val="22"/>
          <w:szCs w:val="22"/>
          <w:lang w:val="en-GB"/>
        </w:rPr>
        <w:t>Financing</w:t>
      </w:r>
    </w:p>
    <w:p w14:paraId="0F532635" w14:textId="1B6A9E52" w:rsidR="00502217" w:rsidRPr="00050E5E" w:rsidRDefault="00A72DF5" w:rsidP="00050E5E">
      <w:pPr>
        <w:pStyle w:val="Blockquote"/>
        <w:jc w:val="both"/>
        <w:rPr>
          <w:sz w:val="22"/>
          <w:szCs w:val="22"/>
          <w:lang w:val="en-GB"/>
        </w:rPr>
      </w:pPr>
      <w:r>
        <w:rPr>
          <w:rStyle w:val="Emphasis"/>
          <w:i w:val="0"/>
          <w:sz w:val="22"/>
          <w:szCs w:val="22"/>
          <w:lang w:val="en-GB"/>
        </w:rPr>
        <w:t>ALTERTRIP-</w:t>
      </w:r>
      <w:r w:rsidR="005E66DE">
        <w:rPr>
          <w:rStyle w:val="Emphasis"/>
          <w:i w:val="0"/>
          <w:sz w:val="22"/>
          <w:szCs w:val="22"/>
          <w:lang w:val="en-GB"/>
        </w:rPr>
        <w:t>CN2-SO1.3-</w:t>
      </w:r>
      <w:r w:rsidR="0038315A">
        <w:rPr>
          <w:rStyle w:val="Emphasis"/>
          <w:i w:val="0"/>
          <w:sz w:val="22"/>
          <w:szCs w:val="22"/>
          <w:lang w:val="en-GB"/>
        </w:rPr>
        <w:t>SC42</w:t>
      </w:r>
    </w:p>
    <w:p w14:paraId="03ED8384"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 xml:space="preserve">5. </w:t>
      </w:r>
      <w:r w:rsidR="00584BF4" w:rsidRPr="00050E5E">
        <w:rPr>
          <w:rStyle w:val="Strong"/>
          <w:sz w:val="22"/>
          <w:szCs w:val="22"/>
          <w:lang w:val="en-GB"/>
        </w:rPr>
        <w:tab/>
      </w:r>
      <w:r w:rsidRPr="00050E5E">
        <w:rPr>
          <w:rStyle w:val="Strong"/>
          <w:sz w:val="22"/>
          <w:szCs w:val="22"/>
          <w:lang w:val="en-GB"/>
        </w:rPr>
        <w:t xml:space="preserve">Contracting </w:t>
      </w:r>
      <w:r w:rsidR="00FE4E4B" w:rsidRPr="00050E5E">
        <w:rPr>
          <w:rStyle w:val="Strong"/>
          <w:sz w:val="22"/>
          <w:szCs w:val="22"/>
          <w:lang w:val="en-GB"/>
        </w:rPr>
        <w:t>a</w:t>
      </w:r>
      <w:r w:rsidRPr="00050E5E">
        <w:rPr>
          <w:rStyle w:val="Strong"/>
          <w:sz w:val="22"/>
          <w:szCs w:val="22"/>
          <w:lang w:val="en-GB"/>
        </w:rPr>
        <w:t>uthority</w:t>
      </w:r>
    </w:p>
    <w:p w14:paraId="2A3D274D" w14:textId="542B9AB5" w:rsidR="005418FD" w:rsidRPr="00050E5E" w:rsidRDefault="005418FD" w:rsidP="00050E5E">
      <w:pPr>
        <w:ind w:left="357" w:right="357"/>
        <w:jc w:val="both"/>
        <w:rPr>
          <w:rStyle w:val="Emphasis"/>
          <w:i w:val="0"/>
          <w:sz w:val="22"/>
          <w:szCs w:val="22"/>
          <w:lang w:val="en-GB"/>
        </w:rPr>
      </w:pPr>
      <w:r w:rsidRPr="00050E5E">
        <w:rPr>
          <w:rStyle w:val="Emphasis"/>
          <w:i w:val="0"/>
          <w:sz w:val="22"/>
          <w:szCs w:val="22"/>
          <w:lang w:val="en-GB"/>
        </w:rPr>
        <w:t xml:space="preserve">Project </w:t>
      </w:r>
      <w:r w:rsidR="00A122E1">
        <w:rPr>
          <w:rStyle w:val="Emphasis"/>
          <w:i w:val="0"/>
          <w:sz w:val="22"/>
          <w:szCs w:val="22"/>
          <w:lang w:val="en-GB"/>
        </w:rPr>
        <w:t xml:space="preserve">Alternative Touristic Experience - </w:t>
      </w:r>
      <w:r w:rsidRPr="00050E5E">
        <w:rPr>
          <w:rStyle w:val="Emphasis"/>
          <w:i w:val="0"/>
          <w:sz w:val="22"/>
          <w:szCs w:val="22"/>
          <w:lang w:val="en-GB"/>
        </w:rPr>
        <w:t>ALTERTRIP</w:t>
      </w:r>
    </w:p>
    <w:p w14:paraId="2259BEAD" w14:textId="0C16AF46" w:rsidR="006F5FD0" w:rsidRPr="00050E5E" w:rsidRDefault="005418FD" w:rsidP="00050E5E">
      <w:pPr>
        <w:ind w:left="357" w:right="357"/>
        <w:rPr>
          <w:rStyle w:val="Emphasis"/>
          <w:i w:val="0"/>
          <w:sz w:val="22"/>
          <w:szCs w:val="22"/>
          <w:lang w:val="en-GB"/>
        </w:rPr>
      </w:pPr>
      <w:r w:rsidRPr="00050E5E">
        <w:rPr>
          <w:rStyle w:val="Emphasis"/>
          <w:i w:val="0"/>
          <w:sz w:val="22"/>
          <w:szCs w:val="22"/>
          <w:lang w:val="en-GB"/>
        </w:rPr>
        <w:t>Association of persons with physical disabilities of Bitola, Demir Hisar and Resen –MOBILNOST Bitola</w:t>
      </w:r>
    </w:p>
    <w:p w14:paraId="67F4A905" w14:textId="1CF1187F" w:rsidR="006F5FD0" w:rsidRPr="00050E5E" w:rsidRDefault="00CC52C3" w:rsidP="00050E5E">
      <w:pPr>
        <w:rPr>
          <w:sz w:val="22"/>
          <w:szCs w:val="22"/>
          <w:lang w:val="en-GB"/>
        </w:rPr>
      </w:pPr>
      <w:r w:rsidRPr="00050E5E">
        <w:rPr>
          <w:noProof/>
          <w:snapToGrid/>
          <w:sz w:val="22"/>
          <w:szCs w:val="22"/>
          <w:lang w:val="en-GB"/>
        </w:rPr>
        <mc:AlternateContent>
          <mc:Choice Requires="wps">
            <w:drawing>
              <wp:anchor distT="0" distB="0" distL="114300" distR="114300" simplePos="0" relativeHeight="251655680" behindDoc="0" locked="0" layoutInCell="0" allowOverlap="1" wp14:anchorId="589D319E" wp14:editId="4E4DE258">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80C70"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050E5E" w:rsidRDefault="006F5FD0" w:rsidP="00050E5E">
      <w:pPr>
        <w:jc w:val="center"/>
        <w:rPr>
          <w:sz w:val="28"/>
          <w:szCs w:val="28"/>
          <w:lang w:val="en-GB"/>
        </w:rPr>
      </w:pPr>
      <w:r w:rsidRPr="00050E5E">
        <w:rPr>
          <w:rStyle w:val="Strong"/>
          <w:sz w:val="28"/>
          <w:szCs w:val="28"/>
          <w:lang w:val="en-GB"/>
        </w:rPr>
        <w:t>CONTRACT SPECIFICATION</w:t>
      </w:r>
    </w:p>
    <w:p w14:paraId="4C8A4F1B"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 xml:space="preserve">6. </w:t>
      </w:r>
      <w:r w:rsidR="00584BF4" w:rsidRPr="00050E5E">
        <w:rPr>
          <w:rStyle w:val="Strong"/>
          <w:sz w:val="22"/>
          <w:szCs w:val="22"/>
          <w:lang w:val="en-GB"/>
        </w:rPr>
        <w:tab/>
      </w:r>
      <w:r w:rsidRPr="00050E5E">
        <w:rPr>
          <w:rStyle w:val="Strong"/>
          <w:sz w:val="22"/>
          <w:szCs w:val="22"/>
          <w:lang w:val="en-GB"/>
        </w:rPr>
        <w:t>Nature of contract</w:t>
      </w:r>
    </w:p>
    <w:p w14:paraId="71099A85" w14:textId="37CC1809" w:rsidR="006F5FD0" w:rsidRPr="00050E5E" w:rsidRDefault="006F5FD0" w:rsidP="00050E5E">
      <w:pPr>
        <w:pStyle w:val="Blockquote"/>
        <w:jc w:val="both"/>
        <w:rPr>
          <w:i/>
          <w:sz w:val="22"/>
          <w:szCs w:val="22"/>
          <w:lang w:val="en-GB"/>
        </w:rPr>
      </w:pPr>
      <w:r w:rsidRPr="00050E5E">
        <w:rPr>
          <w:rStyle w:val="Emphasis"/>
          <w:i w:val="0"/>
          <w:sz w:val="22"/>
          <w:szCs w:val="22"/>
          <w:lang w:val="en-GB"/>
        </w:rPr>
        <w:t>Global price</w:t>
      </w:r>
    </w:p>
    <w:p w14:paraId="1879C6BF" w14:textId="77777777" w:rsidR="006F5FD0" w:rsidRPr="00050E5E" w:rsidRDefault="006F5FD0" w:rsidP="00050E5E">
      <w:pPr>
        <w:ind w:left="709" w:hanging="352"/>
        <w:outlineLvl w:val="0"/>
        <w:rPr>
          <w:sz w:val="22"/>
          <w:szCs w:val="22"/>
          <w:lang w:val="en-GB"/>
        </w:rPr>
      </w:pPr>
      <w:r w:rsidRPr="00050E5E">
        <w:rPr>
          <w:rStyle w:val="Strong"/>
          <w:sz w:val="22"/>
          <w:szCs w:val="22"/>
          <w:lang w:val="en-GB"/>
        </w:rPr>
        <w:t xml:space="preserve">7. </w:t>
      </w:r>
      <w:r w:rsidR="00584BF4" w:rsidRPr="00050E5E">
        <w:rPr>
          <w:rStyle w:val="Strong"/>
          <w:sz w:val="22"/>
          <w:szCs w:val="22"/>
          <w:lang w:val="en-GB"/>
        </w:rPr>
        <w:tab/>
      </w:r>
      <w:r w:rsidRPr="00050E5E">
        <w:rPr>
          <w:rStyle w:val="Strong"/>
          <w:sz w:val="22"/>
          <w:szCs w:val="22"/>
          <w:lang w:val="en-GB"/>
        </w:rPr>
        <w:t>Contract description</w:t>
      </w:r>
    </w:p>
    <w:p w14:paraId="05EDCCF4" w14:textId="3EB99B8A" w:rsidR="00476EEE" w:rsidRPr="00476EEE" w:rsidRDefault="00476EEE" w:rsidP="00476EEE">
      <w:pPr>
        <w:pStyle w:val="Blockquote"/>
        <w:jc w:val="both"/>
        <w:rPr>
          <w:rStyle w:val="Emphasis"/>
          <w:i w:val="0"/>
          <w:sz w:val="22"/>
          <w:szCs w:val="22"/>
          <w:lang w:val="en-GB"/>
        </w:rPr>
      </w:pPr>
      <w:r w:rsidRPr="00476EEE">
        <w:rPr>
          <w:rStyle w:val="Emphasis"/>
          <w:b/>
          <w:bCs/>
          <w:i w:val="0"/>
          <w:sz w:val="22"/>
          <w:szCs w:val="22"/>
          <w:lang w:val="en-GB"/>
        </w:rPr>
        <w:t>Lot 1.</w:t>
      </w:r>
      <w:r>
        <w:rPr>
          <w:rStyle w:val="Emphasis"/>
          <w:i w:val="0"/>
          <w:sz w:val="22"/>
          <w:szCs w:val="22"/>
          <w:lang w:val="en-GB"/>
        </w:rPr>
        <w:t xml:space="preserve"> </w:t>
      </w:r>
      <w:r w:rsidRPr="00476EEE">
        <w:rPr>
          <w:rStyle w:val="Emphasis"/>
          <w:i w:val="0"/>
          <w:sz w:val="22"/>
          <w:szCs w:val="22"/>
          <w:lang w:val="en-GB"/>
        </w:rPr>
        <w:t>In the first lot, tactile signs (images, maps, short text in Braille) will have to be made for ten cultural and historical monuments located in Bitola. For these monuments a digital tourist guide targeted to people with disabilities should also be made. Its content should be optimized according to the WCAG 2.1 standard. The guide should also enable the guidance of people with disabilities to the ten selected cultural and historical monuments, as well as information on the accessibility of these monuments. The selection of the objects that will need to be marked will be made by the Contracting Authority.</w:t>
      </w:r>
    </w:p>
    <w:p w14:paraId="12CA4C8E" w14:textId="06A9CDF3" w:rsidR="006F5FD0" w:rsidRDefault="00476EEE" w:rsidP="00476EEE">
      <w:pPr>
        <w:pStyle w:val="Blockquote"/>
        <w:jc w:val="both"/>
        <w:rPr>
          <w:rStyle w:val="Emphasis"/>
          <w:i w:val="0"/>
          <w:sz w:val="22"/>
          <w:szCs w:val="22"/>
          <w:lang w:val="en-GB"/>
        </w:rPr>
      </w:pPr>
      <w:r w:rsidRPr="00476EEE">
        <w:rPr>
          <w:rStyle w:val="Emphasis"/>
          <w:b/>
          <w:bCs/>
          <w:i w:val="0"/>
          <w:sz w:val="22"/>
          <w:szCs w:val="22"/>
          <w:lang w:val="en-GB"/>
        </w:rPr>
        <w:t>Lot 2.</w:t>
      </w:r>
      <w:r>
        <w:rPr>
          <w:rStyle w:val="Emphasis"/>
          <w:i w:val="0"/>
          <w:sz w:val="22"/>
          <w:szCs w:val="22"/>
          <w:lang w:val="en-GB"/>
        </w:rPr>
        <w:t xml:space="preserve"> </w:t>
      </w:r>
      <w:r w:rsidRPr="00476EEE">
        <w:rPr>
          <w:rStyle w:val="Emphasis"/>
          <w:i w:val="0"/>
          <w:sz w:val="22"/>
          <w:szCs w:val="22"/>
          <w:lang w:val="en-GB"/>
        </w:rPr>
        <w:t>The second lot should promote the ALTER TRIP project, as well as the tools developed in lot 1. The promotion should be continuous and synchronized with the activities in lot 1. The promotion will consist of several elements, as publication of paid articles in electronic and printed media, promotion in social media, printing of tourist guide in brille.</w:t>
      </w:r>
    </w:p>
    <w:p w14:paraId="58BA3298" w14:textId="5CC8273A" w:rsidR="00476C0D" w:rsidRDefault="00476C0D" w:rsidP="00050E5E">
      <w:pPr>
        <w:pStyle w:val="Blockquote"/>
        <w:jc w:val="both"/>
        <w:rPr>
          <w:rStyle w:val="Emphasis"/>
          <w:i w:val="0"/>
          <w:sz w:val="22"/>
          <w:szCs w:val="22"/>
          <w:lang w:val="en-GB"/>
        </w:rPr>
      </w:pPr>
    </w:p>
    <w:p w14:paraId="75E79BC7"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lastRenderedPageBreak/>
        <w:t xml:space="preserve">8. </w:t>
      </w:r>
      <w:r w:rsidR="00584BF4" w:rsidRPr="00050E5E">
        <w:rPr>
          <w:rStyle w:val="Strong"/>
          <w:sz w:val="22"/>
          <w:szCs w:val="22"/>
          <w:lang w:val="en-GB"/>
        </w:rPr>
        <w:tab/>
      </w:r>
      <w:r w:rsidRPr="00050E5E">
        <w:rPr>
          <w:rStyle w:val="Strong"/>
          <w:sz w:val="22"/>
          <w:szCs w:val="22"/>
          <w:lang w:val="en-GB"/>
        </w:rPr>
        <w:t>Number and titles of lots</w:t>
      </w:r>
    </w:p>
    <w:p w14:paraId="0A097CE7" w14:textId="1EB6531D" w:rsidR="00DA0ABA" w:rsidRPr="00050E5E" w:rsidRDefault="00DA0ABA" w:rsidP="00050E5E">
      <w:pPr>
        <w:ind w:left="709" w:hanging="349"/>
        <w:outlineLvl w:val="0"/>
        <w:rPr>
          <w:rStyle w:val="Emphasis"/>
          <w:i w:val="0"/>
          <w:sz w:val="22"/>
          <w:szCs w:val="22"/>
          <w:lang w:val="en-GB"/>
        </w:rPr>
      </w:pPr>
      <w:r w:rsidRPr="00050E5E">
        <w:rPr>
          <w:rStyle w:val="Emphasis"/>
          <w:i w:val="0"/>
          <w:sz w:val="22"/>
          <w:szCs w:val="22"/>
          <w:lang w:val="en-GB"/>
        </w:rPr>
        <w:t>01</w:t>
      </w:r>
      <w:r w:rsidR="00A87515" w:rsidRPr="00050E5E">
        <w:rPr>
          <w:rStyle w:val="Emphasis"/>
          <w:i w:val="0"/>
          <w:sz w:val="22"/>
          <w:szCs w:val="22"/>
          <w:lang w:val="en-GB"/>
        </w:rPr>
        <w:t xml:space="preserve"> Pilot projects for accessible tourism </w:t>
      </w:r>
      <w:r w:rsidR="00B55248">
        <w:rPr>
          <w:rStyle w:val="Emphasis"/>
          <w:i w:val="0"/>
          <w:sz w:val="22"/>
          <w:szCs w:val="22"/>
          <w:lang w:val="en-GB"/>
        </w:rPr>
        <w:t xml:space="preserve">development and </w:t>
      </w:r>
      <w:r w:rsidR="00A87515" w:rsidRPr="00050E5E">
        <w:rPr>
          <w:rStyle w:val="Emphasis"/>
          <w:i w:val="0"/>
          <w:sz w:val="22"/>
          <w:szCs w:val="22"/>
          <w:lang w:val="en-GB"/>
        </w:rPr>
        <w:t>implementation</w:t>
      </w:r>
    </w:p>
    <w:p w14:paraId="6639E9E8" w14:textId="4AC168FC" w:rsidR="00DA0ABA" w:rsidRPr="00050E5E" w:rsidRDefault="00DA0ABA" w:rsidP="00483EC9">
      <w:pPr>
        <w:ind w:left="709" w:hanging="349"/>
        <w:outlineLvl w:val="0"/>
        <w:rPr>
          <w:rStyle w:val="Emphasis"/>
          <w:i w:val="0"/>
          <w:sz w:val="22"/>
          <w:szCs w:val="22"/>
          <w:lang w:val="en-GB"/>
        </w:rPr>
      </w:pPr>
      <w:r w:rsidRPr="00050E5E">
        <w:rPr>
          <w:rStyle w:val="Emphasis"/>
          <w:i w:val="0"/>
          <w:sz w:val="22"/>
          <w:szCs w:val="22"/>
          <w:lang w:val="en-GB"/>
        </w:rPr>
        <w:t>02</w:t>
      </w:r>
      <w:r w:rsidR="00A87515" w:rsidRPr="00050E5E">
        <w:rPr>
          <w:rStyle w:val="Emphasis"/>
          <w:i w:val="0"/>
          <w:sz w:val="22"/>
          <w:szCs w:val="22"/>
          <w:lang w:val="en-GB"/>
        </w:rPr>
        <w:t xml:space="preserve"> Pilot projects for accessible tourism</w:t>
      </w:r>
      <w:r w:rsidR="00A90227">
        <w:rPr>
          <w:rStyle w:val="Emphasis"/>
          <w:i w:val="0"/>
          <w:sz w:val="22"/>
          <w:szCs w:val="22"/>
          <w:lang w:val="en-GB"/>
        </w:rPr>
        <w:t xml:space="preserve"> promotion and </w:t>
      </w:r>
      <w:r w:rsidR="00483EC9">
        <w:rPr>
          <w:rStyle w:val="Emphasis"/>
          <w:i w:val="0"/>
          <w:sz w:val="22"/>
          <w:szCs w:val="22"/>
          <w:lang w:val="en-GB"/>
        </w:rPr>
        <w:t>awareness</w:t>
      </w:r>
      <w:r w:rsidR="008032C2" w:rsidRPr="00050E5E">
        <w:rPr>
          <w:rStyle w:val="Emphasis"/>
          <w:i w:val="0"/>
          <w:sz w:val="22"/>
          <w:szCs w:val="22"/>
          <w:lang w:val="en-GB"/>
        </w:rPr>
        <w:t xml:space="preserve"> </w:t>
      </w:r>
    </w:p>
    <w:p w14:paraId="56CF52C7" w14:textId="77777777" w:rsidR="006F5FD0" w:rsidRPr="00050E5E" w:rsidRDefault="006F5FD0" w:rsidP="00050E5E">
      <w:pPr>
        <w:ind w:left="709" w:hanging="349"/>
        <w:outlineLvl w:val="0"/>
        <w:rPr>
          <w:rStyle w:val="Strong"/>
          <w:sz w:val="22"/>
          <w:szCs w:val="22"/>
          <w:lang w:val="en-GB"/>
        </w:rPr>
      </w:pPr>
      <w:r w:rsidRPr="00050E5E">
        <w:rPr>
          <w:rStyle w:val="Strong"/>
          <w:sz w:val="22"/>
          <w:szCs w:val="22"/>
          <w:lang w:val="en-GB"/>
        </w:rPr>
        <w:t xml:space="preserve">9. </w:t>
      </w:r>
      <w:r w:rsidR="00584BF4" w:rsidRPr="00050E5E">
        <w:rPr>
          <w:rStyle w:val="Strong"/>
          <w:sz w:val="22"/>
          <w:szCs w:val="22"/>
          <w:lang w:val="en-GB"/>
        </w:rPr>
        <w:tab/>
      </w:r>
      <w:r w:rsidRPr="00050E5E">
        <w:rPr>
          <w:rStyle w:val="Strong"/>
          <w:sz w:val="22"/>
          <w:szCs w:val="22"/>
          <w:lang w:val="en-GB"/>
        </w:rPr>
        <w:t>Maximum budget</w:t>
      </w:r>
    </w:p>
    <w:p w14:paraId="6AA792E7" w14:textId="77777777" w:rsidR="00DA0ABA" w:rsidRPr="00050E5E" w:rsidRDefault="00DA0ABA" w:rsidP="00050E5E">
      <w:pPr>
        <w:ind w:left="709" w:hanging="349"/>
        <w:outlineLvl w:val="0"/>
        <w:rPr>
          <w:rStyle w:val="Strong"/>
          <w:b w:val="0"/>
          <w:sz w:val="22"/>
          <w:szCs w:val="22"/>
          <w:lang w:val="en-GB"/>
        </w:rPr>
      </w:pPr>
      <w:r w:rsidRPr="00050E5E">
        <w:rPr>
          <w:rStyle w:val="Strong"/>
          <w:b w:val="0"/>
          <w:sz w:val="22"/>
          <w:szCs w:val="22"/>
          <w:lang w:val="en-GB"/>
        </w:rPr>
        <w:t xml:space="preserve">Give figures </w:t>
      </w:r>
      <w:r w:rsidR="007471C5" w:rsidRPr="00050E5E">
        <w:rPr>
          <w:rStyle w:val="Strong"/>
          <w:b w:val="0"/>
          <w:sz w:val="22"/>
          <w:szCs w:val="22"/>
          <w:lang w:val="en-GB"/>
        </w:rPr>
        <w:t>only:</w:t>
      </w:r>
      <w:r w:rsidRPr="00050E5E">
        <w:rPr>
          <w:rStyle w:val="Strong"/>
          <w:b w:val="0"/>
          <w:sz w:val="22"/>
          <w:szCs w:val="22"/>
          <w:lang w:val="en-GB"/>
        </w:rPr>
        <w:t xml:space="preserve"> </w:t>
      </w:r>
    </w:p>
    <w:p w14:paraId="39BB965D" w14:textId="1BA1CFA3" w:rsidR="00971962" w:rsidRDefault="008B6A1D" w:rsidP="00050E5E">
      <w:pPr>
        <w:pStyle w:val="Blockquote"/>
        <w:jc w:val="both"/>
        <w:rPr>
          <w:sz w:val="22"/>
          <w:szCs w:val="22"/>
          <w:lang w:val="en-GB"/>
        </w:rPr>
      </w:pPr>
      <w:r>
        <w:rPr>
          <w:sz w:val="22"/>
          <w:szCs w:val="22"/>
          <w:lang w:val="en-GB"/>
        </w:rPr>
        <w:t xml:space="preserve">01 </w:t>
      </w:r>
      <w:r w:rsidR="00971962" w:rsidRPr="00050E5E">
        <w:rPr>
          <w:sz w:val="22"/>
          <w:szCs w:val="22"/>
          <w:lang w:val="en-GB"/>
        </w:rPr>
        <w:t>EUR</w:t>
      </w:r>
      <w:r w:rsidR="00476C0D">
        <w:rPr>
          <w:sz w:val="22"/>
          <w:szCs w:val="22"/>
          <w:lang w:val="en-GB"/>
        </w:rPr>
        <w:t xml:space="preserve"> 18.000</w:t>
      </w:r>
    </w:p>
    <w:p w14:paraId="5E27ED58" w14:textId="5D65BE96" w:rsidR="00476C0D" w:rsidRPr="00050E5E" w:rsidRDefault="00476C0D" w:rsidP="00404FA6">
      <w:pPr>
        <w:pStyle w:val="Blockquote"/>
        <w:jc w:val="both"/>
        <w:rPr>
          <w:sz w:val="22"/>
          <w:szCs w:val="22"/>
          <w:lang w:val="en-GB"/>
        </w:rPr>
      </w:pPr>
      <w:r>
        <w:rPr>
          <w:sz w:val="22"/>
          <w:szCs w:val="22"/>
          <w:lang w:val="en-GB"/>
        </w:rPr>
        <w:t xml:space="preserve">02 EUR </w:t>
      </w:r>
      <w:r w:rsidR="00404FA6">
        <w:rPr>
          <w:sz w:val="22"/>
          <w:szCs w:val="22"/>
          <w:lang w:val="en-GB"/>
        </w:rPr>
        <w:t>8</w:t>
      </w:r>
      <w:r>
        <w:rPr>
          <w:sz w:val="22"/>
          <w:szCs w:val="22"/>
          <w:lang w:val="en-GB"/>
        </w:rPr>
        <w:t>.000</w:t>
      </w:r>
      <w:r w:rsidR="00E30228">
        <w:rPr>
          <w:sz w:val="22"/>
          <w:szCs w:val="22"/>
          <w:lang w:val="en-GB"/>
        </w:rPr>
        <w:t xml:space="preserve">  </w:t>
      </w:r>
    </w:p>
    <w:p w14:paraId="6C843D95" w14:textId="0D7CAFFA" w:rsidR="006F5FD0" w:rsidRPr="00050E5E" w:rsidRDefault="00CC52C3" w:rsidP="00050E5E">
      <w:pPr>
        <w:pStyle w:val="Blockquote"/>
        <w:jc w:val="both"/>
        <w:rPr>
          <w:sz w:val="22"/>
          <w:szCs w:val="22"/>
          <w:lang w:val="en-GB"/>
        </w:rPr>
      </w:pPr>
      <w:r w:rsidRPr="00050E5E">
        <w:rPr>
          <w:noProof/>
          <w:snapToGrid/>
          <w:sz w:val="22"/>
          <w:szCs w:val="22"/>
          <w:lang w:val="en-GB"/>
        </w:rPr>
        <mc:AlternateContent>
          <mc:Choice Requires="wps">
            <w:drawing>
              <wp:anchor distT="0" distB="0" distL="114300" distR="114300" simplePos="0" relativeHeight="251656704" behindDoc="0" locked="0" layoutInCell="0" allowOverlap="1" wp14:anchorId="21854D6C" wp14:editId="2611A1E6">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3AE4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o:allowincell="f" strokecolor="#d4d4d4" strokeweight="1.75pt">
                <v:shadow on="t" offset="0,-1pt"/>
              </v:line>
            </w:pict>
          </mc:Fallback>
        </mc:AlternateContent>
      </w:r>
    </w:p>
    <w:p w14:paraId="283B6821" w14:textId="77777777" w:rsidR="006F5FD0" w:rsidRPr="00050E5E" w:rsidRDefault="006F5FD0" w:rsidP="00050E5E">
      <w:pPr>
        <w:jc w:val="center"/>
        <w:rPr>
          <w:sz w:val="28"/>
          <w:szCs w:val="28"/>
          <w:lang w:val="en-GB"/>
        </w:rPr>
      </w:pPr>
      <w:r w:rsidRPr="00050E5E">
        <w:rPr>
          <w:rStyle w:val="Strong"/>
          <w:sz w:val="28"/>
          <w:szCs w:val="28"/>
          <w:lang w:val="en-GB"/>
        </w:rPr>
        <w:t>CONDITIONS OF PARTICIPATION</w:t>
      </w:r>
    </w:p>
    <w:p w14:paraId="2CB5FCF7" w14:textId="4EFF6DAD" w:rsidR="00B9793F" w:rsidRPr="00050E5E" w:rsidRDefault="00B9793F" w:rsidP="00050E5E">
      <w:pPr>
        <w:pStyle w:val="FootnoteText"/>
        <w:ind w:firstLine="426"/>
        <w:rPr>
          <w:rStyle w:val="Strong"/>
          <w:sz w:val="22"/>
          <w:szCs w:val="22"/>
          <w:lang w:val="en-GB"/>
        </w:rPr>
      </w:pPr>
      <w:r w:rsidRPr="00050E5E">
        <w:rPr>
          <w:rStyle w:val="Strong"/>
          <w:sz w:val="22"/>
          <w:szCs w:val="22"/>
          <w:lang w:val="en-GB"/>
        </w:rPr>
        <w:t>10. Legal basis, eligibility and rules of origin</w:t>
      </w:r>
    </w:p>
    <w:p w14:paraId="12D2926E" w14:textId="1DE86B61" w:rsidR="00B9793F" w:rsidRPr="00836FC0" w:rsidRDefault="00B9793F" w:rsidP="00836FC0">
      <w:pPr>
        <w:ind w:left="426"/>
        <w:jc w:val="both"/>
        <w:rPr>
          <w:rFonts w:cs="Arial"/>
          <w:sz w:val="22"/>
          <w:szCs w:val="22"/>
        </w:rPr>
      </w:pPr>
      <w:r w:rsidRPr="00836FC0">
        <w:rPr>
          <w:rFonts w:cs="Arial"/>
          <w:sz w:val="22"/>
          <w:szCs w:val="22"/>
        </w:rPr>
        <w:t xml:space="preserve">The legal basis of this procedure is Regulation (EU) No 236/2014 of the European Parliament and of the Council of 11 March 2014 laying down common rules and procedures for the implementation of the Union's instruments for financing external action and </w:t>
      </w:r>
      <w:r w:rsidR="00DA5FDD" w:rsidRPr="00836FC0">
        <w:rPr>
          <w:rFonts w:cs="Arial"/>
          <w:sz w:val="22"/>
          <w:szCs w:val="22"/>
        </w:rPr>
        <w:t>IPA II</w:t>
      </w:r>
      <w:r w:rsidR="004F0E50" w:rsidRPr="00836FC0">
        <w:rPr>
          <w:rFonts w:cs="Arial"/>
          <w:sz w:val="22"/>
          <w:szCs w:val="22"/>
        </w:rPr>
        <w:t xml:space="preserve"> regulations</w:t>
      </w:r>
      <w:r w:rsidR="00DA5FDD" w:rsidRPr="00836FC0">
        <w:rPr>
          <w:rFonts w:cs="Arial"/>
          <w:sz w:val="22"/>
          <w:szCs w:val="22"/>
        </w:rPr>
        <w:t>.</w:t>
      </w:r>
      <w:r w:rsidRPr="00836FC0">
        <w:rPr>
          <w:rFonts w:cs="Arial"/>
          <w:sz w:val="22"/>
          <w:szCs w:val="22"/>
        </w:rPr>
        <w:t> See Annex A2 of the practical guide.</w:t>
      </w:r>
    </w:p>
    <w:p w14:paraId="569DB781" w14:textId="77777777" w:rsidR="00B9793F" w:rsidRPr="00836FC0" w:rsidRDefault="00B9793F" w:rsidP="009229A2">
      <w:pPr>
        <w:ind w:left="426"/>
        <w:jc w:val="both"/>
        <w:rPr>
          <w:rFonts w:cs="Arial"/>
          <w:sz w:val="22"/>
          <w:szCs w:val="22"/>
          <w:lang w:val="en-GB"/>
        </w:rPr>
      </w:pPr>
      <w:r w:rsidRPr="00836FC0">
        <w:rPr>
          <w:rFonts w:cs="Arial"/>
          <w:sz w:val="22"/>
          <w:szCs w:val="22"/>
          <w:lang w:val="en-GB"/>
        </w:rPr>
        <w:t>Participation is open to all natural persons who are nationals of and legal persons (participating either individually or in a grouping – consortium – of candidates/tenderers) which are effectively established in a  Member State of the European Union or in a eligible country or territory as defined under Article 8 of Regulation (EU) No 236/2014 establishing common rules and procedures for the implementation of the Union's instruments for external action (CIR) for the applicable instrument under which the contract is financed. </w:t>
      </w:r>
    </w:p>
    <w:p w14:paraId="7B95C439" w14:textId="77777777" w:rsidR="00B9793F" w:rsidRPr="00836FC0" w:rsidRDefault="00B9793F" w:rsidP="00836FC0">
      <w:pPr>
        <w:ind w:left="426"/>
        <w:jc w:val="both"/>
        <w:rPr>
          <w:sz w:val="22"/>
          <w:szCs w:val="22"/>
          <w:lang w:val="en-GB"/>
        </w:rPr>
      </w:pPr>
      <w:r w:rsidRPr="00836FC0">
        <w:rPr>
          <w:rFonts w:cs="Arial"/>
          <w:sz w:val="22"/>
          <w:szCs w:val="22"/>
        </w:rPr>
        <w:t xml:space="preserve">Participation is also open to international </w:t>
      </w:r>
      <w:proofErr w:type="spellStart"/>
      <w:r w:rsidRPr="00836FC0">
        <w:rPr>
          <w:rFonts w:cs="Arial"/>
          <w:sz w:val="22"/>
          <w:szCs w:val="22"/>
        </w:rPr>
        <w:t>organisations</w:t>
      </w:r>
      <w:proofErr w:type="spellEnd"/>
      <w:r w:rsidRPr="00836FC0">
        <w:rPr>
          <w:rFonts w:cs="Arial"/>
          <w:sz w:val="22"/>
          <w:szCs w:val="22"/>
        </w:rPr>
        <w:t>.</w:t>
      </w:r>
    </w:p>
    <w:p w14:paraId="1AB6CE9C" w14:textId="77605775" w:rsidR="00B9793F" w:rsidRPr="00836FC0" w:rsidRDefault="00BD69EF" w:rsidP="009229A2">
      <w:pPr>
        <w:ind w:left="426"/>
        <w:jc w:val="both"/>
        <w:rPr>
          <w:rFonts w:cs="Arial"/>
          <w:sz w:val="22"/>
          <w:szCs w:val="22"/>
          <w:lang w:val="en-GB"/>
        </w:rPr>
      </w:pPr>
      <w:r w:rsidRPr="00836FC0">
        <w:rPr>
          <w:rFonts w:cs="Arial"/>
          <w:sz w:val="22"/>
          <w:szCs w:val="22"/>
          <w:lang w:val="en-GB"/>
        </w:rPr>
        <w:t xml:space="preserve">Participation </w:t>
      </w:r>
      <w:r w:rsidR="00B9793F" w:rsidRPr="00836FC0">
        <w:rPr>
          <w:rFonts w:cs="Arial"/>
          <w:sz w:val="22"/>
          <w:szCs w:val="22"/>
          <w:lang w:val="en-GB"/>
        </w:rPr>
        <w:t>financed by the European Instrument for Democracy and Human Rights (EIDHR) and the Instrument contributing to Stability and Peace (</w:t>
      </w:r>
      <w:proofErr w:type="spellStart"/>
      <w:r w:rsidR="00B9793F" w:rsidRPr="00836FC0">
        <w:rPr>
          <w:rFonts w:cs="Arial"/>
          <w:sz w:val="22"/>
          <w:szCs w:val="22"/>
          <w:lang w:val="en-GB"/>
        </w:rPr>
        <w:t>IcSP</w:t>
      </w:r>
      <w:proofErr w:type="spellEnd"/>
      <w:r w:rsidR="00B9793F" w:rsidRPr="00836FC0">
        <w:rPr>
          <w:rFonts w:cs="Arial"/>
          <w:sz w:val="22"/>
          <w:szCs w:val="22"/>
          <w:lang w:val="en-GB"/>
        </w:rPr>
        <w:t>)</w:t>
      </w:r>
      <w:r w:rsidR="00B9793F" w:rsidRPr="00836FC0">
        <w:rPr>
          <w:rFonts w:cs="Arial"/>
          <w:sz w:val="22"/>
          <w:szCs w:val="22"/>
        </w:rPr>
        <w:footnoteReference w:id="1"/>
      </w:r>
      <w:r w:rsidR="00B9793F" w:rsidRPr="00836FC0">
        <w:rPr>
          <w:rFonts w:cs="Arial"/>
          <w:sz w:val="22"/>
          <w:szCs w:val="22"/>
          <w:lang w:val="en-GB"/>
        </w:rPr>
        <w:t xml:space="preserve"> is fully untied</w:t>
      </w:r>
      <w:r w:rsidR="00B9793F" w:rsidRPr="00836FC0">
        <w:rPr>
          <w:rFonts w:cs="Arial"/>
          <w:sz w:val="22"/>
          <w:szCs w:val="22"/>
          <w:lang w:val="en-GB"/>
        </w:rPr>
        <w:footnoteReference w:id="2"/>
      </w:r>
      <w:r w:rsidR="00B9793F" w:rsidRPr="00836FC0">
        <w:rPr>
          <w:rFonts w:cs="Arial"/>
          <w:sz w:val="22"/>
          <w:szCs w:val="22"/>
          <w:lang w:val="en-GB"/>
        </w:rPr>
        <w:t>.</w:t>
      </w:r>
    </w:p>
    <w:p w14:paraId="2E48E140" w14:textId="547D406A" w:rsidR="00B9793F" w:rsidRPr="00836FC0" w:rsidRDefault="00B9793F" w:rsidP="00836FC0">
      <w:pPr>
        <w:ind w:left="426"/>
        <w:jc w:val="both"/>
        <w:rPr>
          <w:rFonts w:cs="Arial"/>
          <w:sz w:val="22"/>
          <w:szCs w:val="22"/>
          <w:lang w:val="en-GB"/>
        </w:rPr>
      </w:pPr>
      <w:r w:rsidRPr="00836FC0">
        <w:rPr>
          <w:rFonts w:cs="Arial"/>
          <w:sz w:val="22"/>
          <w:szCs w:val="22"/>
          <w:lang w:val="en-GB"/>
        </w:rPr>
        <w:t>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in, the United Kingdom ****. Those persons and goods are therefore eligible under this call.  </w:t>
      </w:r>
    </w:p>
    <w:p w14:paraId="3CF63030" w14:textId="77777777" w:rsidR="00B9793F" w:rsidRPr="00836FC0" w:rsidRDefault="00B9793F" w:rsidP="00404FA6">
      <w:pPr>
        <w:spacing w:before="60" w:after="60"/>
        <w:ind w:left="425"/>
        <w:jc w:val="both"/>
        <w:rPr>
          <w:rFonts w:cs="Arial"/>
          <w:sz w:val="22"/>
          <w:szCs w:val="22"/>
          <w:lang w:val="en-GB"/>
        </w:rPr>
      </w:pPr>
      <w:r w:rsidRPr="00836FC0">
        <w:rPr>
          <w:rFonts w:cs="Arial"/>
          <w:sz w:val="22"/>
          <w:szCs w:val="22"/>
          <w:lang w:val="en-GB"/>
        </w:rPr>
        <w:t>* Agreement on the withdrawal of the United Kingdom of Great Britain and Northern Ireland from the European Union and the European Atomic Energy Community. </w:t>
      </w:r>
    </w:p>
    <w:p w14:paraId="4BA37668" w14:textId="77777777" w:rsidR="00B9793F" w:rsidRPr="00836FC0" w:rsidRDefault="00B9793F" w:rsidP="00404FA6">
      <w:pPr>
        <w:spacing w:before="60" w:after="60"/>
        <w:ind w:left="425"/>
        <w:jc w:val="both"/>
        <w:rPr>
          <w:rFonts w:cs="Arial"/>
          <w:sz w:val="22"/>
          <w:szCs w:val="22"/>
          <w:lang w:val="en-GB"/>
        </w:rPr>
      </w:pPr>
      <w:r w:rsidRPr="00836FC0">
        <w:rPr>
          <w:rFonts w:cs="Arial"/>
          <w:sz w:val="22"/>
          <w:szCs w:val="22"/>
          <w:lang w:val="en-GB"/>
        </w:rPr>
        <w:t>** Regulation (EU) No 236/2014 of the European Parliament and of the Council of 11 March 2014 laying down common rules and procedures for the implementation of the Union's instruments for financing external action. </w:t>
      </w:r>
    </w:p>
    <w:p w14:paraId="59024CDF" w14:textId="77777777" w:rsidR="00B9793F" w:rsidRPr="00836FC0" w:rsidRDefault="00B9793F" w:rsidP="00404FA6">
      <w:pPr>
        <w:spacing w:before="60" w:after="60"/>
        <w:ind w:left="425"/>
        <w:jc w:val="both"/>
        <w:rPr>
          <w:rFonts w:cs="Arial"/>
          <w:sz w:val="22"/>
          <w:szCs w:val="22"/>
          <w:lang w:val="en-GB"/>
        </w:rPr>
      </w:pPr>
      <w:r w:rsidRPr="00836FC0">
        <w:rPr>
          <w:rFonts w:cs="Arial"/>
          <w:sz w:val="22"/>
          <w:szCs w:val="22"/>
          <w:lang w:val="en-GB"/>
        </w:rPr>
        <w:lastRenderedPageBreak/>
        <w:t>*** Annex IV to the ACP-EU Partnership Agreement, as revised by Decision 1/2014 of the ACP-EU Council of Ministers (OJ L196/40, 3.7.2014). </w:t>
      </w:r>
    </w:p>
    <w:p w14:paraId="484BDFBA" w14:textId="3BA3D9A8" w:rsidR="00B9793F" w:rsidRPr="00836FC0" w:rsidRDefault="00B9793F" w:rsidP="00404FA6">
      <w:pPr>
        <w:spacing w:before="60" w:after="60"/>
        <w:ind w:left="425"/>
        <w:jc w:val="both"/>
        <w:rPr>
          <w:rFonts w:cs="Arial"/>
          <w:sz w:val="22"/>
          <w:szCs w:val="22"/>
          <w:lang w:val="en-GB"/>
        </w:rPr>
      </w:pPr>
      <w:r w:rsidRPr="00836FC0">
        <w:rPr>
          <w:rFonts w:cs="Arial"/>
          <w:sz w:val="22"/>
          <w:szCs w:val="22"/>
          <w:lang w:val="en-GB"/>
        </w:rPr>
        <w:t>**** Including the Overseas Countries and Territories having special relations with the United Kingdom, as laid down in Part Four and Annex II of the TFEU.</w:t>
      </w:r>
    </w:p>
    <w:p w14:paraId="63522FC5" w14:textId="77777777" w:rsidR="006F5FD0" w:rsidRPr="00050E5E" w:rsidRDefault="006F5FD0" w:rsidP="00050E5E">
      <w:pPr>
        <w:ind w:left="709" w:hanging="349"/>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050E5E">
        <w:rPr>
          <w:rStyle w:val="Strong"/>
          <w:sz w:val="22"/>
          <w:szCs w:val="22"/>
          <w:lang w:val="en-GB"/>
        </w:rPr>
        <w:t>1</w:t>
      </w:r>
      <w:r w:rsidR="00632BDC" w:rsidRPr="00050E5E">
        <w:rPr>
          <w:rStyle w:val="Strong"/>
          <w:sz w:val="22"/>
          <w:szCs w:val="22"/>
          <w:lang w:val="en-GB"/>
        </w:rPr>
        <w:t>1</w:t>
      </w:r>
      <w:r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 xml:space="preserve">Number of </w:t>
      </w:r>
      <w:r w:rsidR="00632BDC" w:rsidRPr="00050E5E">
        <w:rPr>
          <w:rStyle w:val="Strong"/>
          <w:sz w:val="22"/>
          <w:szCs w:val="22"/>
          <w:lang w:val="en-GB"/>
        </w:rPr>
        <w:t>tenders</w:t>
      </w:r>
    </w:p>
    <w:p w14:paraId="62FF8F53" w14:textId="77777777" w:rsidR="006F5FD0" w:rsidRPr="00050E5E" w:rsidRDefault="006F5FD0" w:rsidP="00050E5E">
      <w:pPr>
        <w:pStyle w:val="Blockquote"/>
        <w:jc w:val="both"/>
        <w:rPr>
          <w:sz w:val="22"/>
          <w:szCs w:val="22"/>
          <w:lang w:val="en-GB"/>
        </w:rPr>
      </w:pPr>
      <w:r w:rsidRPr="00050E5E">
        <w:rPr>
          <w:sz w:val="22"/>
          <w:szCs w:val="22"/>
          <w:lang w:val="en-GB"/>
        </w:rPr>
        <w:t xml:space="preserve">No more than one </w:t>
      </w:r>
      <w:r w:rsidR="00632BDC" w:rsidRPr="00050E5E">
        <w:rPr>
          <w:sz w:val="22"/>
          <w:szCs w:val="22"/>
          <w:lang w:val="en-GB"/>
        </w:rPr>
        <w:t>tender</w:t>
      </w:r>
      <w:r w:rsidRPr="00050E5E">
        <w:rPr>
          <w:sz w:val="22"/>
          <w:szCs w:val="22"/>
          <w:lang w:val="en-GB"/>
        </w:rPr>
        <w:t xml:space="preserve"> can be submitte</w:t>
      </w:r>
      <w:r w:rsidR="00087A72" w:rsidRPr="00050E5E">
        <w:rPr>
          <w:sz w:val="22"/>
          <w:szCs w:val="22"/>
          <w:lang w:val="en-GB"/>
        </w:rPr>
        <w:t xml:space="preserve">d by a natural or legal person </w:t>
      </w:r>
      <w:r w:rsidRPr="00050E5E">
        <w:rPr>
          <w:sz w:val="22"/>
          <w:szCs w:val="22"/>
          <w:lang w:val="en-GB"/>
        </w:rPr>
        <w:t xml:space="preserve">whatever the form of participation (as an individual legal entity or as leader or </w:t>
      </w:r>
      <w:r w:rsidR="003232ED" w:rsidRPr="00050E5E">
        <w:rPr>
          <w:sz w:val="22"/>
          <w:szCs w:val="22"/>
          <w:lang w:val="en-GB"/>
        </w:rPr>
        <w:t xml:space="preserve">member </w:t>
      </w:r>
      <w:r w:rsidRPr="00050E5E">
        <w:rPr>
          <w:sz w:val="22"/>
          <w:szCs w:val="22"/>
          <w:lang w:val="en-GB"/>
        </w:rPr>
        <w:t xml:space="preserve">of a consortium submitting a </w:t>
      </w:r>
      <w:r w:rsidR="00632BDC" w:rsidRPr="00050E5E">
        <w:rPr>
          <w:sz w:val="22"/>
          <w:szCs w:val="22"/>
          <w:lang w:val="en-GB"/>
        </w:rPr>
        <w:t>tender</w:t>
      </w:r>
      <w:r w:rsidRPr="00050E5E">
        <w:rPr>
          <w:sz w:val="22"/>
          <w:szCs w:val="22"/>
          <w:lang w:val="en-GB"/>
        </w:rPr>
        <w:t xml:space="preserve">).  </w:t>
      </w:r>
      <w:proofErr w:type="gramStart"/>
      <w:r w:rsidRPr="00050E5E">
        <w:rPr>
          <w:sz w:val="22"/>
          <w:szCs w:val="22"/>
          <w:lang w:val="en-GB"/>
        </w:rPr>
        <w:t>In the event that</w:t>
      </w:r>
      <w:proofErr w:type="gramEnd"/>
      <w:r w:rsidRPr="00050E5E">
        <w:rPr>
          <w:sz w:val="22"/>
          <w:szCs w:val="22"/>
          <w:lang w:val="en-GB"/>
        </w:rPr>
        <w:t xml:space="preserve"> a natural or legal person submits more than one </w:t>
      </w:r>
      <w:r w:rsidR="00632BDC" w:rsidRPr="00050E5E">
        <w:rPr>
          <w:sz w:val="22"/>
          <w:szCs w:val="22"/>
          <w:lang w:val="en-GB"/>
        </w:rPr>
        <w:t>tender</w:t>
      </w:r>
      <w:r w:rsidRPr="00050E5E">
        <w:rPr>
          <w:sz w:val="22"/>
          <w:szCs w:val="22"/>
          <w:lang w:val="en-GB"/>
        </w:rPr>
        <w:t xml:space="preserve">, all </w:t>
      </w:r>
      <w:r w:rsidR="00632BDC" w:rsidRPr="00050E5E">
        <w:rPr>
          <w:sz w:val="22"/>
          <w:szCs w:val="22"/>
          <w:lang w:val="en-GB"/>
        </w:rPr>
        <w:t>tenders</w:t>
      </w:r>
      <w:r w:rsidRPr="00050E5E">
        <w:rPr>
          <w:sz w:val="22"/>
          <w:szCs w:val="22"/>
          <w:lang w:val="en-GB"/>
        </w:rPr>
        <w:t xml:space="preserve"> in which that person has participated </w:t>
      </w:r>
      <w:r w:rsidR="00CB759D" w:rsidRPr="00050E5E">
        <w:rPr>
          <w:sz w:val="22"/>
          <w:szCs w:val="22"/>
          <w:lang w:val="en-GB"/>
        </w:rPr>
        <w:t>will</w:t>
      </w:r>
      <w:r w:rsidRPr="00050E5E">
        <w:rPr>
          <w:sz w:val="22"/>
          <w:szCs w:val="22"/>
          <w:lang w:val="en-GB"/>
        </w:rPr>
        <w:t xml:space="preserve"> be excluded.</w:t>
      </w:r>
    </w:p>
    <w:p w14:paraId="012A5F8A" w14:textId="4427AE80" w:rsidR="004E1482" w:rsidRPr="00050E5E" w:rsidRDefault="00364564" w:rsidP="00050E5E">
      <w:pPr>
        <w:pStyle w:val="Blockquote"/>
        <w:jc w:val="both"/>
        <w:rPr>
          <w:sz w:val="22"/>
          <w:szCs w:val="22"/>
          <w:lang w:val="en-GB"/>
        </w:rPr>
      </w:pPr>
      <w:r w:rsidRPr="00050E5E">
        <w:rPr>
          <w:sz w:val="22"/>
          <w:szCs w:val="22"/>
          <w:lang w:val="en-GB"/>
        </w:rPr>
        <w:t>N</w:t>
      </w:r>
      <w:r w:rsidR="00E1782A" w:rsidRPr="00050E5E">
        <w:rPr>
          <w:sz w:val="22"/>
          <w:szCs w:val="22"/>
          <w:lang w:val="en-GB"/>
        </w:rPr>
        <w:t>o restrictions may be made in the number of lots a tenderer can be awarded.</w:t>
      </w:r>
    </w:p>
    <w:p w14:paraId="519FD253" w14:textId="593C6DBF" w:rsidR="00E1782A" w:rsidRPr="00050E5E" w:rsidRDefault="004E1482" w:rsidP="00050E5E">
      <w:pPr>
        <w:pStyle w:val="Blockquote"/>
        <w:jc w:val="both"/>
        <w:rPr>
          <w:i/>
          <w:sz w:val="22"/>
          <w:szCs w:val="22"/>
          <w:lang w:val="en-GB"/>
        </w:rPr>
      </w:pPr>
      <w:r w:rsidRPr="00050E5E">
        <w:rPr>
          <w:sz w:val="22"/>
          <w:szCs w:val="22"/>
          <w:lang w:val="en-GB"/>
        </w:rPr>
        <w:t xml:space="preserve">The </w:t>
      </w:r>
      <w:r w:rsidR="00632BDC" w:rsidRPr="00050E5E">
        <w:rPr>
          <w:sz w:val="22"/>
          <w:szCs w:val="22"/>
          <w:lang w:val="en-GB"/>
        </w:rPr>
        <w:t>tenderer</w:t>
      </w:r>
      <w:r w:rsidRPr="00050E5E">
        <w:rPr>
          <w:sz w:val="22"/>
          <w:szCs w:val="22"/>
          <w:lang w:val="en-GB"/>
        </w:rPr>
        <w:t xml:space="preserve"> may submit a </w:t>
      </w:r>
      <w:r w:rsidR="00632BDC" w:rsidRPr="00050E5E">
        <w:rPr>
          <w:sz w:val="22"/>
          <w:szCs w:val="22"/>
          <w:lang w:val="en-GB"/>
        </w:rPr>
        <w:t>tender</w:t>
      </w:r>
      <w:r w:rsidRPr="00050E5E">
        <w:rPr>
          <w:sz w:val="22"/>
          <w:szCs w:val="22"/>
          <w:lang w:val="en-GB"/>
        </w:rPr>
        <w:t xml:space="preserve"> for one lot only, several lots or </w:t>
      </w:r>
      <w:proofErr w:type="gramStart"/>
      <w:r w:rsidRPr="00050E5E">
        <w:rPr>
          <w:sz w:val="22"/>
          <w:szCs w:val="22"/>
          <w:lang w:val="en-GB"/>
        </w:rPr>
        <w:t>all of</w:t>
      </w:r>
      <w:proofErr w:type="gramEnd"/>
      <w:r w:rsidRPr="00050E5E">
        <w:rPr>
          <w:sz w:val="22"/>
          <w:szCs w:val="22"/>
          <w:lang w:val="en-GB"/>
        </w:rPr>
        <w:t xml:space="preserve"> the lots, but only one </w:t>
      </w:r>
      <w:r w:rsidR="00632BDC" w:rsidRPr="00050E5E">
        <w:rPr>
          <w:sz w:val="22"/>
          <w:szCs w:val="22"/>
          <w:lang w:val="en-GB"/>
        </w:rPr>
        <w:t>tender</w:t>
      </w:r>
      <w:r w:rsidRPr="00050E5E">
        <w:rPr>
          <w:sz w:val="22"/>
          <w:szCs w:val="22"/>
          <w:lang w:val="en-GB"/>
        </w:rPr>
        <w:t xml:space="preserve"> per lot. Contracts will be awarded lot by lot and each lot will form a separate contract.</w:t>
      </w:r>
    </w:p>
    <w:p w14:paraId="7B54A5E6"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1</w:t>
      </w:r>
      <w:r w:rsidR="00632BDC" w:rsidRPr="00050E5E">
        <w:rPr>
          <w:rStyle w:val="Strong"/>
          <w:sz w:val="22"/>
          <w:szCs w:val="22"/>
          <w:lang w:val="en-GB"/>
        </w:rPr>
        <w:t>2</w:t>
      </w:r>
      <w:r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Grounds for exclusion</w:t>
      </w:r>
    </w:p>
    <w:p w14:paraId="796D557F" w14:textId="77777777" w:rsidR="006F5FD0" w:rsidRPr="00050E5E" w:rsidRDefault="006F5FD0" w:rsidP="00050E5E">
      <w:pPr>
        <w:pStyle w:val="Blockquote"/>
        <w:jc w:val="both"/>
        <w:rPr>
          <w:sz w:val="22"/>
          <w:szCs w:val="22"/>
          <w:lang w:val="en-GB"/>
        </w:rPr>
      </w:pPr>
      <w:r w:rsidRPr="00050E5E">
        <w:rPr>
          <w:sz w:val="22"/>
          <w:szCs w:val="22"/>
          <w:lang w:val="en-GB"/>
        </w:rPr>
        <w:t xml:space="preserve">As part of the </w:t>
      </w:r>
      <w:r w:rsidR="00632BDC" w:rsidRPr="00050E5E">
        <w:rPr>
          <w:sz w:val="22"/>
          <w:szCs w:val="22"/>
          <w:lang w:val="en-GB"/>
        </w:rPr>
        <w:t>tender</w:t>
      </w:r>
      <w:r w:rsidRPr="00050E5E">
        <w:rPr>
          <w:sz w:val="22"/>
          <w:szCs w:val="22"/>
          <w:lang w:val="en-GB"/>
        </w:rPr>
        <w:t xml:space="preserve">, </w:t>
      </w:r>
      <w:r w:rsidR="00632BDC" w:rsidRPr="00050E5E">
        <w:rPr>
          <w:sz w:val="22"/>
          <w:szCs w:val="22"/>
          <w:lang w:val="en-GB"/>
        </w:rPr>
        <w:t>tenderers</w:t>
      </w:r>
      <w:r w:rsidRPr="00050E5E">
        <w:rPr>
          <w:sz w:val="22"/>
          <w:szCs w:val="22"/>
          <w:lang w:val="en-GB"/>
        </w:rPr>
        <w:t xml:space="preserve"> must</w:t>
      </w:r>
      <w:r w:rsidR="00750FF8" w:rsidRPr="00050E5E">
        <w:rPr>
          <w:sz w:val="22"/>
          <w:szCs w:val="22"/>
          <w:lang w:val="en-GB"/>
        </w:rPr>
        <w:t xml:space="preserve"> submit a </w:t>
      </w:r>
      <w:r w:rsidR="000F0F6C" w:rsidRPr="00050E5E">
        <w:rPr>
          <w:sz w:val="22"/>
          <w:szCs w:val="22"/>
          <w:lang w:val="en-GB"/>
        </w:rPr>
        <w:t xml:space="preserve">signed </w:t>
      </w:r>
      <w:r w:rsidR="002D266E" w:rsidRPr="00050E5E">
        <w:rPr>
          <w:sz w:val="22"/>
          <w:szCs w:val="22"/>
          <w:lang w:val="en-GB"/>
        </w:rPr>
        <w:t>declaration</w:t>
      </w:r>
      <w:r w:rsidR="000F0F6C" w:rsidRPr="00050E5E">
        <w:rPr>
          <w:sz w:val="22"/>
          <w:szCs w:val="22"/>
          <w:lang w:val="en-GB"/>
        </w:rPr>
        <w:t>,</w:t>
      </w:r>
      <w:r w:rsidR="00750FF8" w:rsidRPr="00050E5E">
        <w:rPr>
          <w:sz w:val="22"/>
          <w:szCs w:val="22"/>
          <w:lang w:val="en-GB"/>
        </w:rPr>
        <w:t xml:space="preserve"> </w:t>
      </w:r>
      <w:r w:rsidR="000F0F6C" w:rsidRPr="00050E5E">
        <w:rPr>
          <w:sz w:val="22"/>
          <w:szCs w:val="22"/>
          <w:lang w:val="en-GB"/>
        </w:rPr>
        <w:t xml:space="preserve">included in the </w:t>
      </w:r>
      <w:r w:rsidR="00632BDC" w:rsidRPr="00050E5E">
        <w:rPr>
          <w:sz w:val="22"/>
          <w:szCs w:val="22"/>
          <w:lang w:val="en-GB"/>
        </w:rPr>
        <w:t>tender</w:t>
      </w:r>
      <w:r w:rsidR="000F0F6C" w:rsidRPr="00050E5E">
        <w:rPr>
          <w:sz w:val="22"/>
          <w:szCs w:val="22"/>
          <w:lang w:val="en-GB"/>
        </w:rPr>
        <w:t xml:space="preserve"> form, </w:t>
      </w:r>
      <w:r w:rsidR="00750FF8" w:rsidRPr="00050E5E">
        <w:rPr>
          <w:sz w:val="22"/>
          <w:szCs w:val="22"/>
          <w:lang w:val="en-GB"/>
        </w:rPr>
        <w:t>to the effect that they are not in any of</w:t>
      </w:r>
      <w:r w:rsidRPr="00050E5E">
        <w:rPr>
          <w:sz w:val="22"/>
          <w:szCs w:val="22"/>
          <w:lang w:val="en-GB"/>
        </w:rPr>
        <w:t xml:space="preserve"> </w:t>
      </w:r>
      <w:r w:rsidR="00A433A6" w:rsidRPr="00050E5E">
        <w:rPr>
          <w:sz w:val="22"/>
          <w:szCs w:val="22"/>
          <w:lang w:val="en-GB"/>
        </w:rPr>
        <w:t xml:space="preserve">the </w:t>
      </w:r>
      <w:r w:rsidR="00750FF8" w:rsidRPr="00050E5E">
        <w:rPr>
          <w:sz w:val="22"/>
          <w:szCs w:val="22"/>
          <w:lang w:val="en-GB"/>
        </w:rPr>
        <w:t xml:space="preserve">exclusion situations </w:t>
      </w:r>
      <w:r w:rsidR="00A433A6" w:rsidRPr="00050E5E">
        <w:rPr>
          <w:sz w:val="22"/>
          <w:szCs w:val="22"/>
          <w:lang w:val="en-GB"/>
        </w:rPr>
        <w:t>listed</w:t>
      </w:r>
      <w:r w:rsidR="00750FF8" w:rsidRPr="00050E5E">
        <w:rPr>
          <w:sz w:val="22"/>
          <w:szCs w:val="22"/>
          <w:lang w:val="en-GB"/>
        </w:rPr>
        <w:t xml:space="preserve"> </w:t>
      </w:r>
      <w:r w:rsidRPr="00050E5E">
        <w:rPr>
          <w:sz w:val="22"/>
          <w:szCs w:val="22"/>
          <w:lang w:val="en-GB"/>
        </w:rPr>
        <w:t>in Section 2.</w:t>
      </w:r>
      <w:r w:rsidR="00513F0F" w:rsidRPr="00050E5E">
        <w:rPr>
          <w:sz w:val="22"/>
          <w:szCs w:val="22"/>
          <w:lang w:val="en-GB"/>
        </w:rPr>
        <w:t>6</w:t>
      </w:r>
      <w:r w:rsidRPr="00050E5E">
        <w:rPr>
          <w:sz w:val="22"/>
          <w:szCs w:val="22"/>
          <w:lang w:val="en-GB"/>
        </w:rPr>
        <w:t>.</w:t>
      </w:r>
      <w:r w:rsidR="00513F0F" w:rsidRPr="00050E5E">
        <w:rPr>
          <w:sz w:val="22"/>
          <w:szCs w:val="22"/>
          <w:lang w:val="en-GB"/>
        </w:rPr>
        <w:t>10</w:t>
      </w:r>
      <w:r w:rsidR="001C21A2" w:rsidRPr="00050E5E">
        <w:rPr>
          <w:sz w:val="22"/>
          <w:szCs w:val="22"/>
          <w:lang w:val="en-GB"/>
        </w:rPr>
        <w:t>.</w:t>
      </w:r>
      <w:r w:rsidR="00513F0F" w:rsidRPr="00050E5E">
        <w:rPr>
          <w:sz w:val="22"/>
          <w:szCs w:val="22"/>
          <w:lang w:val="en-GB"/>
        </w:rPr>
        <w:t>1.</w:t>
      </w:r>
      <w:r w:rsidRPr="00050E5E">
        <w:rPr>
          <w:sz w:val="22"/>
          <w:szCs w:val="22"/>
          <w:lang w:val="en-GB"/>
        </w:rPr>
        <w:t xml:space="preserve"> of the </w:t>
      </w:r>
      <w:r w:rsidR="00513F0F" w:rsidRPr="00050E5E">
        <w:rPr>
          <w:sz w:val="22"/>
          <w:szCs w:val="22"/>
          <w:lang w:val="en-GB"/>
        </w:rPr>
        <w:t>p</w:t>
      </w:r>
      <w:r w:rsidRPr="00050E5E">
        <w:rPr>
          <w:sz w:val="22"/>
          <w:szCs w:val="22"/>
          <w:lang w:val="en-GB"/>
        </w:rPr>
        <w:t xml:space="preserve">ractical </w:t>
      </w:r>
      <w:r w:rsidR="00513F0F" w:rsidRPr="00050E5E">
        <w:rPr>
          <w:sz w:val="22"/>
          <w:szCs w:val="22"/>
          <w:lang w:val="en-GB"/>
        </w:rPr>
        <w:t>g</w:t>
      </w:r>
      <w:r w:rsidRPr="00050E5E">
        <w:rPr>
          <w:sz w:val="22"/>
          <w:szCs w:val="22"/>
          <w:lang w:val="en-GB"/>
        </w:rPr>
        <w:t>uide</w:t>
      </w:r>
      <w:r w:rsidR="000C1101" w:rsidRPr="00050E5E">
        <w:rPr>
          <w:sz w:val="22"/>
          <w:szCs w:val="22"/>
          <w:lang w:val="en-GB"/>
        </w:rPr>
        <w:t>.</w:t>
      </w:r>
      <w:r w:rsidRPr="00050E5E">
        <w:rPr>
          <w:sz w:val="22"/>
          <w:szCs w:val="22"/>
          <w:lang w:val="en-GB"/>
        </w:rPr>
        <w:t xml:space="preserve"> </w:t>
      </w:r>
    </w:p>
    <w:p w14:paraId="7275ED88" w14:textId="77777777" w:rsidR="0039147E" w:rsidRPr="00050E5E" w:rsidRDefault="00C03AF5" w:rsidP="00050E5E">
      <w:pPr>
        <w:pStyle w:val="Blockquote"/>
        <w:jc w:val="both"/>
        <w:rPr>
          <w:sz w:val="22"/>
          <w:szCs w:val="22"/>
          <w:lang w:val="en-GB"/>
        </w:rPr>
      </w:pPr>
      <w:r w:rsidRPr="00050E5E">
        <w:rPr>
          <w:sz w:val="22"/>
          <w:szCs w:val="22"/>
          <w:lang w:val="en-GB"/>
        </w:rPr>
        <w:t>Tenderer</w:t>
      </w:r>
      <w:r w:rsidR="0039147E" w:rsidRPr="00050E5E">
        <w:rPr>
          <w:sz w:val="22"/>
          <w:szCs w:val="22"/>
          <w:lang w:val="en-GB"/>
        </w:rPr>
        <w:t xml:space="preserve"> included in the lists of EU restrictive measures (see Section 2.</w:t>
      </w:r>
      <w:r w:rsidR="00513F0F" w:rsidRPr="00050E5E">
        <w:rPr>
          <w:sz w:val="22"/>
          <w:szCs w:val="22"/>
          <w:lang w:val="en-GB"/>
        </w:rPr>
        <w:t>4</w:t>
      </w:r>
      <w:r w:rsidR="0039147E" w:rsidRPr="00050E5E">
        <w:rPr>
          <w:sz w:val="22"/>
          <w:szCs w:val="22"/>
          <w:lang w:val="en-GB"/>
        </w:rPr>
        <w:t xml:space="preserve">. of the PRAG) </w:t>
      </w:r>
      <w:proofErr w:type="gramStart"/>
      <w:r w:rsidR="0039147E" w:rsidRPr="00050E5E">
        <w:rPr>
          <w:sz w:val="22"/>
          <w:szCs w:val="22"/>
          <w:lang w:val="en-GB"/>
        </w:rPr>
        <w:t>at the moment</w:t>
      </w:r>
      <w:proofErr w:type="gramEnd"/>
      <w:r w:rsidR="0039147E" w:rsidRPr="00050E5E">
        <w:rPr>
          <w:sz w:val="22"/>
          <w:szCs w:val="22"/>
          <w:lang w:val="en-GB"/>
        </w:rPr>
        <w:t xml:space="preserve"> of the award decision cannot be awarded the contract. </w:t>
      </w:r>
    </w:p>
    <w:p w14:paraId="3126791C"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1</w:t>
      </w:r>
      <w:r w:rsidR="005639EC" w:rsidRPr="00050E5E">
        <w:rPr>
          <w:rStyle w:val="Strong"/>
          <w:sz w:val="22"/>
          <w:szCs w:val="22"/>
          <w:lang w:val="en-GB"/>
        </w:rPr>
        <w:t>3</w:t>
      </w:r>
      <w:r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Sub-contracting</w:t>
      </w:r>
    </w:p>
    <w:p w14:paraId="2C010702" w14:textId="77777777" w:rsidR="00E9047D" w:rsidRPr="00050E5E" w:rsidRDefault="006D6080" w:rsidP="00050E5E">
      <w:pPr>
        <w:ind w:left="709" w:hanging="349"/>
        <w:outlineLvl w:val="0"/>
        <w:rPr>
          <w:rStyle w:val="Emphasis"/>
          <w:i w:val="0"/>
          <w:sz w:val="22"/>
          <w:szCs w:val="22"/>
          <w:lang w:val="en-GB"/>
        </w:rPr>
      </w:pPr>
      <w:r w:rsidRPr="00050E5E">
        <w:rPr>
          <w:rStyle w:val="Emphasis"/>
          <w:i w:val="0"/>
          <w:sz w:val="22"/>
          <w:szCs w:val="22"/>
          <w:lang w:val="en-GB"/>
        </w:rPr>
        <w:t>Subcontracting is allowed</w:t>
      </w:r>
      <w:r w:rsidR="000C1101" w:rsidRPr="00050E5E">
        <w:rPr>
          <w:rStyle w:val="Emphasis"/>
          <w:i w:val="0"/>
          <w:sz w:val="22"/>
          <w:szCs w:val="22"/>
          <w:lang w:val="en-GB"/>
        </w:rPr>
        <w:t>.</w:t>
      </w:r>
    </w:p>
    <w:p w14:paraId="3E76976B" w14:textId="728EAE9F" w:rsidR="006F5FD0" w:rsidRPr="00050E5E" w:rsidRDefault="00CC52C3" w:rsidP="00050E5E">
      <w:pPr>
        <w:keepNext/>
        <w:jc w:val="center"/>
        <w:rPr>
          <w:sz w:val="28"/>
          <w:szCs w:val="28"/>
          <w:lang w:val="en-GB"/>
        </w:rPr>
      </w:pPr>
      <w:r w:rsidRPr="00050E5E">
        <w:rPr>
          <w:noProof/>
          <w:snapToGrid/>
          <w:sz w:val="22"/>
          <w:szCs w:val="22"/>
          <w:lang w:val="en-GB"/>
        </w:rPr>
        <mc:AlternateContent>
          <mc:Choice Requires="wps">
            <w:drawing>
              <wp:anchor distT="0" distB="0" distL="114300" distR="114300" simplePos="0" relativeHeight="251657728" behindDoc="0" locked="0" layoutInCell="0" allowOverlap="1" wp14:anchorId="11F7E59B" wp14:editId="6D5F0D50">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49F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" o:allowincell="f" strokecolor="#d4d4d4" strokeweight="1.75pt">
                <v:shadow on="t" offset="0,-1pt"/>
              </v:line>
            </w:pict>
          </mc:Fallback>
        </mc:AlternateContent>
      </w:r>
      <w:r w:rsidR="006F5FD0" w:rsidRPr="00050E5E">
        <w:rPr>
          <w:rStyle w:val="Strong"/>
          <w:sz w:val="28"/>
          <w:szCs w:val="28"/>
          <w:lang w:val="en-GB"/>
        </w:rPr>
        <w:t>PROVISIONAL TIMETABLE</w:t>
      </w:r>
    </w:p>
    <w:p w14:paraId="669BA67B"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1</w:t>
      </w:r>
      <w:r w:rsidR="005639EC" w:rsidRPr="00050E5E">
        <w:rPr>
          <w:rStyle w:val="Strong"/>
          <w:sz w:val="22"/>
          <w:szCs w:val="22"/>
          <w:lang w:val="en-GB"/>
        </w:rPr>
        <w:t>4</w:t>
      </w:r>
      <w:r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Provisional commencement date of the contract</w:t>
      </w:r>
    </w:p>
    <w:p w14:paraId="7C4EA8E0" w14:textId="6EB7E3FC" w:rsidR="006F5FD0" w:rsidRPr="00050E5E" w:rsidRDefault="00A44A6E" w:rsidP="00050E5E">
      <w:pPr>
        <w:pStyle w:val="Blockquote"/>
        <w:jc w:val="both"/>
        <w:rPr>
          <w:i/>
          <w:sz w:val="22"/>
          <w:szCs w:val="22"/>
          <w:lang w:val="en-GB"/>
        </w:rPr>
      </w:pPr>
      <w:r w:rsidRPr="00050E5E">
        <w:rPr>
          <w:rStyle w:val="Emphasis"/>
          <w:i w:val="0"/>
          <w:sz w:val="22"/>
          <w:szCs w:val="22"/>
          <w:lang w:val="en-GB"/>
        </w:rPr>
        <w:t>1</w:t>
      </w:r>
      <w:r w:rsidR="006E0D9F">
        <w:rPr>
          <w:rStyle w:val="Emphasis"/>
          <w:i w:val="0"/>
          <w:sz w:val="22"/>
          <w:szCs w:val="22"/>
          <w:lang w:val="en-GB"/>
        </w:rPr>
        <w:t>5</w:t>
      </w:r>
      <w:r w:rsidRPr="00050E5E">
        <w:rPr>
          <w:rStyle w:val="Emphasis"/>
          <w:i w:val="0"/>
          <w:sz w:val="22"/>
          <w:szCs w:val="22"/>
          <w:lang w:val="en-GB"/>
        </w:rPr>
        <w:t xml:space="preserve"> April 2022</w:t>
      </w:r>
    </w:p>
    <w:p w14:paraId="70B1A4AA" w14:textId="77777777" w:rsidR="006F5FD0" w:rsidRPr="00050E5E" w:rsidRDefault="005639EC" w:rsidP="00050E5E">
      <w:pPr>
        <w:ind w:left="709" w:hanging="349"/>
        <w:outlineLvl w:val="0"/>
        <w:rPr>
          <w:sz w:val="22"/>
          <w:szCs w:val="22"/>
          <w:lang w:val="en-GB"/>
        </w:rPr>
      </w:pPr>
      <w:r w:rsidRPr="00050E5E">
        <w:rPr>
          <w:rStyle w:val="Strong"/>
          <w:sz w:val="22"/>
          <w:szCs w:val="22"/>
          <w:lang w:val="en-GB"/>
        </w:rPr>
        <w:t>15</w:t>
      </w:r>
      <w:r w:rsidR="006F5FD0"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Implementation</w:t>
      </w:r>
      <w:r w:rsidR="006F5FD0" w:rsidRPr="00050E5E">
        <w:rPr>
          <w:rStyle w:val="Strong"/>
          <w:sz w:val="22"/>
          <w:szCs w:val="22"/>
          <w:lang w:val="en-GB"/>
        </w:rPr>
        <w:t xml:space="preserve"> period of </w:t>
      </w:r>
      <w:r w:rsidRPr="00050E5E">
        <w:rPr>
          <w:rStyle w:val="Strong"/>
          <w:sz w:val="22"/>
          <w:szCs w:val="22"/>
          <w:lang w:val="en-GB"/>
        </w:rPr>
        <w:t>the</w:t>
      </w:r>
      <w:r w:rsidR="00476D80" w:rsidRPr="00050E5E">
        <w:rPr>
          <w:rStyle w:val="Strong"/>
          <w:sz w:val="22"/>
          <w:szCs w:val="22"/>
          <w:lang w:val="en-GB"/>
        </w:rPr>
        <w:t xml:space="preserve"> tasks </w:t>
      </w:r>
    </w:p>
    <w:p w14:paraId="6A07015F" w14:textId="1FB22F5D" w:rsidR="006F5FD0" w:rsidRPr="00050E5E" w:rsidRDefault="007D559B" w:rsidP="007D559B">
      <w:pPr>
        <w:pStyle w:val="Blockquote"/>
        <w:jc w:val="both"/>
        <w:rPr>
          <w:i/>
          <w:sz w:val="22"/>
          <w:szCs w:val="22"/>
          <w:lang w:val="en-GB"/>
        </w:rPr>
      </w:pPr>
      <w:r w:rsidRPr="00050E5E">
        <w:rPr>
          <w:rStyle w:val="Emphasis"/>
          <w:i w:val="0"/>
          <w:sz w:val="22"/>
          <w:szCs w:val="22"/>
          <w:lang w:val="en-GB"/>
        </w:rPr>
        <w:t>1</w:t>
      </w:r>
      <w:r w:rsidR="006E0D9F">
        <w:rPr>
          <w:rStyle w:val="Emphasis"/>
          <w:i w:val="0"/>
          <w:sz w:val="22"/>
          <w:szCs w:val="22"/>
          <w:lang w:val="en-GB"/>
        </w:rPr>
        <w:t>5</w:t>
      </w:r>
      <w:r w:rsidRPr="00050E5E">
        <w:rPr>
          <w:rStyle w:val="Emphasis"/>
          <w:i w:val="0"/>
          <w:sz w:val="22"/>
          <w:szCs w:val="22"/>
          <w:lang w:val="en-GB"/>
        </w:rPr>
        <w:t xml:space="preserve"> April 2022</w:t>
      </w:r>
      <w:r>
        <w:rPr>
          <w:rStyle w:val="Emphasis"/>
          <w:i w:val="0"/>
          <w:sz w:val="22"/>
          <w:szCs w:val="22"/>
          <w:lang w:val="en-GB"/>
        </w:rPr>
        <w:t xml:space="preserve"> – 17 January 2023</w:t>
      </w:r>
    </w:p>
    <w:p w14:paraId="29CC7DD8" w14:textId="2CE283E8" w:rsidR="006F5FD0" w:rsidRPr="00050E5E" w:rsidRDefault="00CC52C3" w:rsidP="00050E5E">
      <w:pPr>
        <w:rPr>
          <w:sz w:val="22"/>
          <w:szCs w:val="22"/>
          <w:lang w:val="en-GB"/>
        </w:rPr>
      </w:pPr>
      <w:r w:rsidRPr="00050E5E">
        <w:rPr>
          <w:noProof/>
          <w:snapToGrid/>
          <w:sz w:val="22"/>
          <w:szCs w:val="22"/>
          <w:lang w:val="en-GB"/>
        </w:rPr>
        <mc:AlternateContent>
          <mc:Choice Requires="wps">
            <w:drawing>
              <wp:anchor distT="0" distB="0" distL="114300" distR="114300" simplePos="0" relativeHeight="251658752" behindDoc="0" locked="0" layoutInCell="0" allowOverlap="1" wp14:anchorId="6E3015B7" wp14:editId="5B8C3538">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E48D3"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25048343" w14:textId="77777777" w:rsidR="006F5FD0" w:rsidRPr="00050E5E" w:rsidRDefault="006F5FD0" w:rsidP="00050E5E">
      <w:pPr>
        <w:jc w:val="center"/>
        <w:rPr>
          <w:sz w:val="28"/>
          <w:szCs w:val="28"/>
          <w:lang w:val="en-GB"/>
        </w:rPr>
      </w:pPr>
      <w:r w:rsidRPr="00050E5E">
        <w:rPr>
          <w:rStyle w:val="Strong"/>
          <w:sz w:val="28"/>
          <w:szCs w:val="28"/>
          <w:lang w:val="en-GB"/>
        </w:rPr>
        <w:t>SELECTION AND AWARD CRITERIA</w:t>
      </w:r>
    </w:p>
    <w:p w14:paraId="392C793B" w14:textId="37D53532" w:rsidR="006F5FD0" w:rsidRPr="00050E5E" w:rsidRDefault="005639EC" w:rsidP="00050E5E">
      <w:pPr>
        <w:ind w:left="709" w:hanging="349"/>
        <w:outlineLvl w:val="0"/>
        <w:rPr>
          <w:rStyle w:val="Strong"/>
          <w:sz w:val="22"/>
          <w:szCs w:val="22"/>
          <w:lang w:val="en-GB"/>
        </w:rPr>
      </w:pPr>
      <w:r w:rsidRPr="00050E5E">
        <w:rPr>
          <w:rStyle w:val="Strong"/>
          <w:sz w:val="22"/>
          <w:szCs w:val="22"/>
          <w:lang w:val="en-GB"/>
        </w:rPr>
        <w:t>16</w:t>
      </w:r>
      <w:r w:rsidR="006F5FD0" w:rsidRPr="00050E5E">
        <w:rPr>
          <w:rStyle w:val="Strong"/>
          <w:sz w:val="22"/>
          <w:szCs w:val="22"/>
          <w:lang w:val="en-GB"/>
        </w:rPr>
        <w:t xml:space="preserve">. </w:t>
      </w:r>
      <w:r w:rsidR="00584BF4" w:rsidRPr="00050E5E">
        <w:rPr>
          <w:rStyle w:val="Strong"/>
          <w:sz w:val="22"/>
          <w:szCs w:val="22"/>
          <w:lang w:val="en-GB"/>
        </w:rPr>
        <w:tab/>
      </w:r>
      <w:r w:rsidR="006F5FD0" w:rsidRPr="00050E5E">
        <w:rPr>
          <w:rStyle w:val="Strong"/>
          <w:sz w:val="22"/>
          <w:szCs w:val="22"/>
          <w:lang w:val="en-GB"/>
        </w:rPr>
        <w:t>Selection criteria</w:t>
      </w:r>
    </w:p>
    <w:p w14:paraId="6CB7A2FF" w14:textId="77777777" w:rsidR="00215403" w:rsidRPr="00050E5E" w:rsidRDefault="00215403" w:rsidP="00050E5E">
      <w:pPr>
        <w:widowControl/>
        <w:spacing w:before="240" w:after="0"/>
        <w:ind w:left="426"/>
        <w:jc w:val="both"/>
        <w:rPr>
          <w:sz w:val="22"/>
          <w:szCs w:val="22"/>
          <w:lang w:val="en-GB"/>
        </w:rPr>
      </w:pPr>
      <w:r w:rsidRPr="00050E5E">
        <w:rPr>
          <w:sz w:val="22"/>
          <w:szCs w:val="22"/>
          <w:lang w:val="en-GB"/>
        </w:rPr>
        <w:t>Capacity-providing entities</w:t>
      </w:r>
    </w:p>
    <w:p w14:paraId="5BF50C91" w14:textId="77777777" w:rsidR="00215403" w:rsidRPr="00050E5E" w:rsidRDefault="00215403" w:rsidP="00050E5E">
      <w:pPr>
        <w:widowControl/>
        <w:spacing w:before="240" w:after="0"/>
        <w:ind w:left="426"/>
        <w:jc w:val="both"/>
        <w:rPr>
          <w:sz w:val="22"/>
          <w:szCs w:val="22"/>
          <w:lang w:val="en-GB"/>
        </w:rPr>
      </w:pPr>
      <w:r w:rsidRPr="00050E5E">
        <w:rPr>
          <w:sz w:val="22"/>
          <w:szCs w:val="22"/>
          <w:lang w:val="en-GB"/>
        </w:rPr>
        <w:t>An economic operator (</w:t>
      </w:r>
      <w:proofErr w:type="gramStart"/>
      <w:r w:rsidRPr="00050E5E">
        <w:rPr>
          <w:sz w:val="22"/>
          <w:szCs w:val="22"/>
          <w:lang w:val="en-GB"/>
        </w:rPr>
        <w:t>i.e.</w:t>
      </w:r>
      <w:proofErr w:type="gramEnd"/>
      <w:r w:rsidRPr="00050E5E">
        <w:rPr>
          <w:sz w:val="22"/>
          <w:szCs w:val="22"/>
          <w:lang w:val="en-GB"/>
        </w:rPr>
        <w:t xml:space="preserve"> candidate or tenderer) may, where appropriate and for a particular contract, rely on the capacities of other entities, regardless of the legal nature of the links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w:t>
      </w:r>
      <w:r w:rsidRPr="00050E5E">
        <w:rPr>
          <w:sz w:val="22"/>
          <w:szCs w:val="22"/>
          <w:lang w:val="en-GB"/>
        </w:rPr>
        <w:lastRenderedPageBreak/>
        <w:t xml:space="preserve">of nationality as the economic operator relying on them and must comply with the selection criteria for which the economic operator relies on them. </w:t>
      </w:r>
      <w:r w:rsidRPr="00050E5E">
        <w:rPr>
          <w:b/>
          <w:sz w:val="22"/>
          <w:szCs w:val="22"/>
          <w:lang w:val="en-GB"/>
        </w:rPr>
        <w:t>Furthermore, the data for this third entity for the relevant selection criterion should be included in a separate document</w:t>
      </w:r>
      <w:r w:rsidRPr="00050E5E">
        <w:rPr>
          <w:sz w:val="22"/>
          <w:szCs w:val="22"/>
          <w:lang w:val="en-GB"/>
        </w:rPr>
        <w:t>. Proof of the capacity will also have to be provided when requested by the contracting authority.</w:t>
      </w:r>
    </w:p>
    <w:p w14:paraId="62F0014C" w14:textId="77777777" w:rsidR="00215403" w:rsidRPr="00050E5E" w:rsidRDefault="00215403" w:rsidP="00050E5E">
      <w:pPr>
        <w:widowControl/>
        <w:spacing w:before="240" w:after="0"/>
        <w:ind w:left="426"/>
        <w:jc w:val="both"/>
        <w:rPr>
          <w:sz w:val="22"/>
          <w:szCs w:val="22"/>
          <w:lang w:val="en-GB"/>
        </w:rPr>
      </w:pPr>
      <w:proofErr w:type="gramStart"/>
      <w:r w:rsidRPr="00050E5E">
        <w:rPr>
          <w:sz w:val="22"/>
          <w:szCs w:val="22"/>
          <w:lang w:val="en-GB"/>
        </w:rPr>
        <w:t>With regard to</w:t>
      </w:r>
      <w:proofErr w:type="gramEnd"/>
      <w:r w:rsidRPr="00050E5E">
        <w:rPr>
          <w:sz w:val="22"/>
          <w:szCs w:val="22"/>
          <w:lang w:val="en-GB"/>
        </w:rPr>
        <w:t xml:space="preserve"> technical and professional criteria, an economic operator may only rely on the capacities of other entities where the latter will perform the tasks for which these capacities are required. </w:t>
      </w:r>
    </w:p>
    <w:p w14:paraId="096697A8" w14:textId="37735207" w:rsidR="00215403" w:rsidRPr="00050E5E" w:rsidRDefault="00215403" w:rsidP="00050E5E">
      <w:pPr>
        <w:widowControl/>
        <w:spacing w:before="240" w:after="0"/>
        <w:ind w:left="426"/>
        <w:jc w:val="both"/>
        <w:rPr>
          <w:sz w:val="22"/>
          <w:szCs w:val="22"/>
          <w:lang w:val="en-GB"/>
        </w:rPr>
      </w:pPr>
      <w:proofErr w:type="gramStart"/>
      <w:r w:rsidRPr="00050E5E">
        <w:rPr>
          <w:sz w:val="22"/>
          <w:szCs w:val="22"/>
          <w:lang w:val="en-GB"/>
        </w:rPr>
        <w:t>With regard to</w:t>
      </w:r>
      <w:proofErr w:type="gramEnd"/>
      <w:r w:rsidRPr="00050E5E">
        <w:rPr>
          <w:sz w:val="22"/>
          <w:szCs w:val="22"/>
          <w:lang w:val="en-GB"/>
        </w:rPr>
        <w:t xml:space="preserve"> economic and financial criteria, the entities upon whose capacity the economic operator relies, become jointly and severally liable for the performance of the contract.</w:t>
      </w:r>
    </w:p>
    <w:p w14:paraId="0D716E4E" w14:textId="351B547B" w:rsidR="006F5FD0" w:rsidRPr="00050E5E" w:rsidRDefault="006F5FD0" w:rsidP="00050E5E">
      <w:pPr>
        <w:pStyle w:val="Blockquote"/>
        <w:jc w:val="both"/>
        <w:rPr>
          <w:sz w:val="22"/>
          <w:szCs w:val="22"/>
          <w:lang w:val="en-GB"/>
        </w:rPr>
      </w:pPr>
      <w:r w:rsidRPr="00050E5E">
        <w:rPr>
          <w:sz w:val="22"/>
          <w:szCs w:val="22"/>
          <w:lang w:val="en-GB"/>
        </w:rPr>
        <w:t xml:space="preserve">The following selection criteria </w:t>
      </w:r>
      <w:r w:rsidR="00087A72" w:rsidRPr="00050E5E">
        <w:rPr>
          <w:sz w:val="22"/>
          <w:szCs w:val="22"/>
          <w:lang w:val="en-GB"/>
        </w:rPr>
        <w:t xml:space="preserve">will be applied to </w:t>
      </w:r>
      <w:r w:rsidR="005639EC" w:rsidRPr="00050E5E">
        <w:rPr>
          <w:sz w:val="22"/>
          <w:szCs w:val="22"/>
          <w:lang w:val="en-GB"/>
        </w:rPr>
        <w:t>the tenderers</w:t>
      </w:r>
      <w:r w:rsidR="00087A72" w:rsidRPr="00050E5E">
        <w:rPr>
          <w:sz w:val="22"/>
          <w:szCs w:val="22"/>
          <w:lang w:val="en-GB"/>
        </w:rPr>
        <w:t xml:space="preserve">. </w:t>
      </w:r>
      <w:r w:rsidRPr="00050E5E">
        <w:rPr>
          <w:sz w:val="22"/>
          <w:szCs w:val="22"/>
          <w:lang w:val="en-GB"/>
        </w:rPr>
        <w:t xml:space="preserve">In the case of </w:t>
      </w:r>
      <w:r w:rsidR="005639EC" w:rsidRPr="00050E5E">
        <w:rPr>
          <w:sz w:val="22"/>
          <w:szCs w:val="22"/>
          <w:lang w:val="en-GB"/>
        </w:rPr>
        <w:t>tenders</w:t>
      </w:r>
      <w:r w:rsidRPr="00050E5E">
        <w:rPr>
          <w:sz w:val="22"/>
          <w:szCs w:val="22"/>
          <w:lang w:val="en-GB"/>
        </w:rPr>
        <w:t xml:space="preserve"> submitted by a consortium, these selection criteria will be applied to the consortium </w:t>
      </w:r>
      <w:proofErr w:type="gramStart"/>
      <w:r w:rsidRPr="00050E5E">
        <w:rPr>
          <w:sz w:val="22"/>
          <w:szCs w:val="22"/>
          <w:lang w:val="en-GB"/>
        </w:rPr>
        <w:t>as a whole</w:t>
      </w:r>
      <w:r w:rsidR="006751D2" w:rsidRPr="00050E5E">
        <w:rPr>
          <w:sz w:val="22"/>
          <w:szCs w:val="22"/>
          <w:lang w:val="en-GB"/>
        </w:rPr>
        <w:t xml:space="preserve"> if</w:t>
      </w:r>
      <w:proofErr w:type="gramEnd"/>
      <w:r w:rsidR="006751D2" w:rsidRPr="00050E5E">
        <w:rPr>
          <w:sz w:val="22"/>
          <w:szCs w:val="22"/>
          <w:lang w:val="en-GB"/>
        </w:rPr>
        <w:t xml:space="preserve"> not specified otherwise. The selection criteria will not be applied to natural persons and single-member companies when they are sub-contractors.</w:t>
      </w:r>
    </w:p>
    <w:p w14:paraId="4A3BC96C" w14:textId="609C992A" w:rsidR="004916FF" w:rsidRPr="00050E5E" w:rsidRDefault="004916FF" w:rsidP="00050E5E">
      <w:pPr>
        <w:pStyle w:val="Blockquote"/>
        <w:jc w:val="both"/>
        <w:rPr>
          <w:sz w:val="22"/>
          <w:szCs w:val="22"/>
          <w:lang w:val="en-GB"/>
        </w:rPr>
      </w:pPr>
      <w:r w:rsidRPr="00050E5E">
        <w:rPr>
          <w:sz w:val="22"/>
          <w:szCs w:val="22"/>
          <w:lang w:val="en-GB"/>
        </w:rPr>
        <w:t xml:space="preserve">The </w:t>
      </w:r>
      <w:r w:rsidR="00400098" w:rsidRPr="00050E5E">
        <w:rPr>
          <w:sz w:val="22"/>
          <w:szCs w:val="22"/>
          <w:lang w:val="en-GB"/>
        </w:rPr>
        <w:t>tenderer</w:t>
      </w:r>
      <w:r w:rsidR="00FB41D6" w:rsidRPr="00050E5E">
        <w:rPr>
          <w:sz w:val="22"/>
          <w:szCs w:val="22"/>
          <w:lang w:val="en-IE"/>
        </w:rPr>
        <w:t xml:space="preserve"> </w:t>
      </w:r>
      <w:r w:rsidRPr="00050E5E">
        <w:rPr>
          <w:sz w:val="22"/>
          <w:szCs w:val="22"/>
          <w:lang w:val="en-GB"/>
        </w:rPr>
        <w:t>shall not use previous experience which caused breach of contract and termination by a contracting authority as a reference for selection criteria.</w:t>
      </w:r>
    </w:p>
    <w:p w14:paraId="53A16187" w14:textId="6EDF769A" w:rsidR="006F5FD0" w:rsidRPr="00050E5E" w:rsidRDefault="00571687" w:rsidP="00050E5E">
      <w:pPr>
        <w:pStyle w:val="Blockquote"/>
        <w:ind w:left="641" w:right="357" w:hanging="284"/>
        <w:jc w:val="both"/>
        <w:rPr>
          <w:sz w:val="22"/>
          <w:szCs w:val="22"/>
          <w:lang w:val="en-GB"/>
        </w:rPr>
      </w:pPr>
      <w:r w:rsidRPr="00050E5E">
        <w:rPr>
          <w:b/>
          <w:sz w:val="22"/>
          <w:szCs w:val="22"/>
          <w:u w:val="single"/>
          <w:lang w:val="en-GB"/>
        </w:rPr>
        <w:t>1)</w:t>
      </w:r>
      <w:r w:rsidRPr="00050E5E">
        <w:rPr>
          <w:b/>
          <w:sz w:val="22"/>
          <w:szCs w:val="22"/>
          <w:u w:val="single"/>
          <w:lang w:val="en-GB"/>
        </w:rPr>
        <w:tab/>
      </w:r>
      <w:r w:rsidR="006F5FD0" w:rsidRPr="00050E5E">
        <w:rPr>
          <w:b/>
          <w:sz w:val="22"/>
          <w:szCs w:val="22"/>
          <w:u w:val="single"/>
          <w:lang w:val="en-GB"/>
        </w:rPr>
        <w:t xml:space="preserve">Economic and financial </w:t>
      </w:r>
      <w:r w:rsidR="001C64F1" w:rsidRPr="00050E5E">
        <w:rPr>
          <w:b/>
          <w:sz w:val="22"/>
          <w:szCs w:val="22"/>
          <w:u w:val="single"/>
          <w:lang w:val="en-GB"/>
        </w:rPr>
        <w:t xml:space="preserve">capacity </w:t>
      </w:r>
      <w:r w:rsidR="006F5FD0" w:rsidRPr="00050E5E">
        <w:rPr>
          <w:b/>
          <w:sz w:val="22"/>
          <w:szCs w:val="22"/>
          <w:u w:val="single"/>
          <w:lang w:val="en-GB"/>
        </w:rPr>
        <w:t xml:space="preserve">of </w:t>
      </w:r>
      <w:r w:rsidR="002413EA" w:rsidRPr="00050E5E">
        <w:rPr>
          <w:b/>
          <w:sz w:val="22"/>
          <w:szCs w:val="22"/>
          <w:u w:val="single"/>
          <w:lang w:val="en-GB"/>
        </w:rPr>
        <w:t>the tenderer</w:t>
      </w:r>
      <w:r w:rsidR="00087A72" w:rsidRPr="00050E5E">
        <w:rPr>
          <w:b/>
          <w:sz w:val="22"/>
          <w:szCs w:val="22"/>
          <w:lang w:val="en-GB"/>
        </w:rPr>
        <w:t xml:space="preserve"> (</w:t>
      </w:r>
      <w:r w:rsidR="006F5FD0" w:rsidRPr="00050E5E">
        <w:rPr>
          <w:sz w:val="22"/>
          <w:szCs w:val="22"/>
          <w:lang w:val="en-GB"/>
        </w:rPr>
        <w:t>based on</w:t>
      </w:r>
      <w:r w:rsidR="00087A72" w:rsidRPr="00050E5E">
        <w:rPr>
          <w:sz w:val="22"/>
          <w:szCs w:val="22"/>
          <w:lang w:val="en-GB"/>
        </w:rPr>
        <w:t xml:space="preserve"> item 3 of the </w:t>
      </w:r>
      <w:r w:rsidR="005639EC" w:rsidRPr="00050E5E">
        <w:rPr>
          <w:sz w:val="22"/>
          <w:szCs w:val="22"/>
          <w:lang w:val="en-GB"/>
        </w:rPr>
        <w:t>tender</w:t>
      </w:r>
      <w:r w:rsidR="00087A72" w:rsidRPr="00050E5E">
        <w:rPr>
          <w:sz w:val="22"/>
          <w:szCs w:val="22"/>
          <w:lang w:val="en-GB"/>
        </w:rPr>
        <w:t xml:space="preserve"> form)</w:t>
      </w:r>
      <w:r w:rsidR="00663C6D" w:rsidRPr="00050E5E">
        <w:rPr>
          <w:sz w:val="22"/>
          <w:szCs w:val="22"/>
          <w:lang w:val="en-GB"/>
        </w:rPr>
        <w:t xml:space="preserve">. In case of </w:t>
      </w:r>
      <w:r w:rsidR="005639EC" w:rsidRPr="00050E5E">
        <w:rPr>
          <w:sz w:val="22"/>
          <w:szCs w:val="22"/>
          <w:lang w:val="en-GB"/>
        </w:rPr>
        <w:t>tender</w:t>
      </w:r>
      <w:r w:rsidR="002413EA" w:rsidRPr="00050E5E">
        <w:rPr>
          <w:sz w:val="22"/>
          <w:szCs w:val="22"/>
          <w:lang w:val="en-GB"/>
        </w:rPr>
        <w:t>er</w:t>
      </w:r>
      <w:r w:rsidR="00663C6D" w:rsidRPr="00050E5E">
        <w:rPr>
          <w:sz w:val="22"/>
          <w:szCs w:val="22"/>
          <w:lang w:val="en-GB"/>
        </w:rPr>
        <w:t xml:space="preserve"> being a public body, equivalent information should be provided</w:t>
      </w:r>
      <w:r w:rsidR="006A66DA" w:rsidRPr="00050E5E">
        <w:rPr>
          <w:sz w:val="22"/>
          <w:szCs w:val="22"/>
          <w:lang w:val="en-GB"/>
        </w:rPr>
        <w:t>.</w:t>
      </w:r>
      <w:r w:rsidR="00663C6D" w:rsidRPr="00050E5E">
        <w:rPr>
          <w:sz w:val="22"/>
          <w:szCs w:val="22"/>
          <w:lang w:val="en-GB"/>
        </w:rPr>
        <w:t xml:space="preserve"> </w:t>
      </w:r>
      <w:r w:rsidR="006751D2" w:rsidRPr="00050E5E">
        <w:rPr>
          <w:sz w:val="22"/>
          <w:szCs w:val="22"/>
          <w:lang w:val="en-GB"/>
        </w:rPr>
        <w:t xml:space="preserve">The reference period which will be </w:t>
      </w:r>
      <w:proofErr w:type="gramStart"/>
      <w:r w:rsidR="006751D2" w:rsidRPr="00050E5E">
        <w:rPr>
          <w:sz w:val="22"/>
          <w:szCs w:val="22"/>
          <w:lang w:val="en-GB"/>
        </w:rPr>
        <w:t>taken into account</w:t>
      </w:r>
      <w:proofErr w:type="gramEnd"/>
      <w:r w:rsidR="006751D2" w:rsidRPr="00050E5E">
        <w:rPr>
          <w:sz w:val="22"/>
          <w:szCs w:val="22"/>
          <w:lang w:val="en-GB"/>
        </w:rPr>
        <w:t xml:space="preserve"> will be the last three </w:t>
      </w:r>
      <w:r w:rsidR="00D51C7E" w:rsidRPr="00050E5E">
        <w:rPr>
          <w:sz w:val="22"/>
          <w:szCs w:val="22"/>
          <w:lang w:val="en-GB"/>
        </w:rPr>
        <w:t xml:space="preserve">financial </w:t>
      </w:r>
      <w:r w:rsidR="006751D2" w:rsidRPr="00050E5E">
        <w:rPr>
          <w:sz w:val="22"/>
          <w:szCs w:val="22"/>
          <w:lang w:val="en-GB"/>
        </w:rPr>
        <w:t>years for which accounts have been closed.</w:t>
      </w:r>
    </w:p>
    <w:p w14:paraId="5DF71D77" w14:textId="7E4C97F6" w:rsidR="006F5FD0" w:rsidRPr="00050E5E" w:rsidRDefault="006F5FD0" w:rsidP="00050E5E">
      <w:pPr>
        <w:pStyle w:val="Blockquote"/>
        <w:numPr>
          <w:ilvl w:val="0"/>
          <w:numId w:val="36"/>
        </w:numPr>
        <w:tabs>
          <w:tab w:val="clear" w:pos="360"/>
          <w:tab w:val="num" w:pos="720"/>
        </w:tabs>
        <w:ind w:left="720"/>
        <w:jc w:val="both"/>
        <w:rPr>
          <w:sz w:val="22"/>
          <w:szCs w:val="22"/>
          <w:lang w:val="en-GB"/>
        </w:rPr>
      </w:pPr>
      <w:r w:rsidRPr="00050E5E">
        <w:rPr>
          <w:sz w:val="22"/>
          <w:szCs w:val="22"/>
          <w:lang w:val="en-GB"/>
        </w:rPr>
        <w:t xml:space="preserve">the average annual turnover of the </w:t>
      </w:r>
      <w:r w:rsidR="005639EC" w:rsidRPr="00050E5E">
        <w:rPr>
          <w:sz w:val="22"/>
          <w:szCs w:val="22"/>
          <w:lang w:val="en-GB"/>
        </w:rPr>
        <w:t>tenderer</w:t>
      </w:r>
      <w:r w:rsidRPr="00050E5E">
        <w:rPr>
          <w:sz w:val="22"/>
          <w:szCs w:val="22"/>
          <w:lang w:val="en-GB"/>
        </w:rPr>
        <w:t xml:space="preserve"> must </w:t>
      </w:r>
      <w:proofErr w:type="gramStart"/>
      <w:r w:rsidRPr="00050E5E">
        <w:rPr>
          <w:sz w:val="22"/>
          <w:szCs w:val="22"/>
          <w:lang w:val="en-GB"/>
        </w:rPr>
        <w:t>exceed  the</w:t>
      </w:r>
      <w:proofErr w:type="gramEnd"/>
      <w:r w:rsidRPr="00050E5E">
        <w:rPr>
          <w:sz w:val="22"/>
          <w:szCs w:val="22"/>
          <w:lang w:val="en-GB"/>
        </w:rPr>
        <w:t xml:space="preserve"> annualised maximum budget of the contract </w:t>
      </w:r>
      <w:r w:rsidR="00E147D3" w:rsidRPr="00050E5E">
        <w:rPr>
          <w:sz w:val="22"/>
          <w:szCs w:val="22"/>
          <w:lang w:val="en-GB"/>
        </w:rPr>
        <w:t>i.e.</w:t>
      </w:r>
      <w:r w:rsidRPr="00050E5E">
        <w:rPr>
          <w:sz w:val="22"/>
          <w:szCs w:val="22"/>
          <w:lang w:val="en-GB"/>
        </w:rPr>
        <w:t xml:space="preserve"> the maximum budget stated in the </w:t>
      </w:r>
      <w:r w:rsidR="005639EC" w:rsidRPr="00050E5E">
        <w:rPr>
          <w:sz w:val="22"/>
          <w:szCs w:val="22"/>
          <w:lang w:val="en-GB"/>
        </w:rPr>
        <w:t>contract</w:t>
      </w:r>
      <w:r w:rsidRPr="00050E5E">
        <w:rPr>
          <w:sz w:val="22"/>
          <w:szCs w:val="22"/>
          <w:lang w:val="en-GB"/>
        </w:rPr>
        <w:t xml:space="preserve"> notice divided by the initial contract duration in years, where this exceeds 1 yea</w:t>
      </w:r>
      <w:r w:rsidR="00AE651E" w:rsidRPr="00050E5E">
        <w:rPr>
          <w:sz w:val="22"/>
          <w:szCs w:val="22"/>
          <w:lang w:val="en-GB"/>
        </w:rPr>
        <w:t>r</w:t>
      </w:r>
      <w:r w:rsidRPr="00050E5E">
        <w:rPr>
          <w:sz w:val="22"/>
          <w:szCs w:val="22"/>
          <w:lang w:val="en-GB"/>
        </w:rPr>
        <w:t>; and</w:t>
      </w:r>
    </w:p>
    <w:p w14:paraId="2BF7D369" w14:textId="5E8FA015" w:rsidR="00235A71" w:rsidRPr="00050E5E" w:rsidRDefault="00517ADA" w:rsidP="00050E5E">
      <w:pPr>
        <w:pStyle w:val="Blockquote"/>
        <w:numPr>
          <w:ilvl w:val="0"/>
          <w:numId w:val="36"/>
        </w:numPr>
        <w:tabs>
          <w:tab w:val="clear" w:pos="360"/>
          <w:tab w:val="num" w:pos="720"/>
        </w:tabs>
        <w:ind w:left="720"/>
        <w:jc w:val="both"/>
        <w:rPr>
          <w:sz w:val="22"/>
          <w:szCs w:val="22"/>
          <w:lang w:val="en-GB"/>
        </w:rPr>
      </w:pPr>
      <w:r w:rsidRPr="00050E5E">
        <w:rPr>
          <w:sz w:val="22"/>
          <w:szCs w:val="22"/>
          <w:lang w:val="en-GB"/>
        </w:rPr>
        <w:t>Current ratio (current assets/current liabilities) in the last year for which accounts have been closed must be at least 1. In case of a consortium</w:t>
      </w:r>
      <w:r w:rsidR="00E17CCF" w:rsidRPr="00050E5E">
        <w:rPr>
          <w:sz w:val="22"/>
          <w:szCs w:val="22"/>
          <w:lang w:val="en-GB"/>
        </w:rPr>
        <w:t>,</w:t>
      </w:r>
      <w:r w:rsidRPr="00050E5E">
        <w:rPr>
          <w:sz w:val="22"/>
          <w:szCs w:val="22"/>
          <w:lang w:val="en-GB"/>
        </w:rPr>
        <w:t xml:space="preserve"> this criterion must be fulfilled by each member.</w:t>
      </w:r>
    </w:p>
    <w:p w14:paraId="5D762B00" w14:textId="35CFF5F5" w:rsidR="006F5FD0" w:rsidRPr="00050E5E" w:rsidRDefault="00571687" w:rsidP="00050E5E">
      <w:pPr>
        <w:pStyle w:val="Blockquote"/>
        <w:ind w:left="641" w:right="357" w:hanging="284"/>
        <w:jc w:val="both"/>
        <w:rPr>
          <w:sz w:val="22"/>
          <w:szCs w:val="22"/>
          <w:lang w:val="en-GB"/>
        </w:rPr>
      </w:pPr>
      <w:r w:rsidRPr="00050E5E">
        <w:rPr>
          <w:b/>
          <w:sz w:val="22"/>
          <w:szCs w:val="22"/>
          <w:u w:val="single"/>
          <w:lang w:val="en-GB"/>
        </w:rPr>
        <w:t>2)</w:t>
      </w:r>
      <w:r w:rsidRPr="00050E5E">
        <w:rPr>
          <w:sz w:val="22"/>
          <w:szCs w:val="22"/>
          <w:u w:val="single"/>
          <w:lang w:val="en-GB"/>
        </w:rPr>
        <w:tab/>
      </w:r>
      <w:r w:rsidR="006F5FD0" w:rsidRPr="00050E5E">
        <w:rPr>
          <w:b/>
          <w:sz w:val="22"/>
          <w:szCs w:val="22"/>
          <w:u w:val="single"/>
          <w:lang w:val="en-GB"/>
        </w:rPr>
        <w:t>Professional capacity of</w:t>
      </w:r>
      <w:r w:rsidR="002413EA" w:rsidRPr="00050E5E">
        <w:rPr>
          <w:b/>
          <w:sz w:val="22"/>
          <w:szCs w:val="22"/>
          <w:u w:val="single"/>
          <w:lang w:val="en-GB"/>
        </w:rPr>
        <w:t xml:space="preserve"> the tenderer</w:t>
      </w:r>
      <w:r w:rsidR="006F5FD0" w:rsidRPr="00050E5E">
        <w:rPr>
          <w:b/>
          <w:sz w:val="22"/>
          <w:szCs w:val="22"/>
          <w:u w:val="single"/>
          <w:lang w:val="en-GB"/>
        </w:rPr>
        <w:t xml:space="preserve"> </w:t>
      </w:r>
      <w:r w:rsidR="00A85E8A" w:rsidRPr="00050E5E">
        <w:rPr>
          <w:b/>
          <w:sz w:val="22"/>
          <w:szCs w:val="22"/>
          <w:u w:val="single"/>
          <w:lang w:val="en-GB"/>
        </w:rPr>
        <w:t>(</w:t>
      </w:r>
      <w:r w:rsidR="006F5FD0" w:rsidRPr="00050E5E">
        <w:rPr>
          <w:sz w:val="22"/>
          <w:szCs w:val="22"/>
          <w:lang w:val="en-GB"/>
        </w:rPr>
        <w:t xml:space="preserve">based on items </w:t>
      </w:r>
      <w:r w:rsidR="00087A72" w:rsidRPr="00050E5E">
        <w:rPr>
          <w:sz w:val="22"/>
          <w:szCs w:val="22"/>
          <w:lang w:val="en-GB"/>
        </w:rPr>
        <w:t xml:space="preserve">4 of the </w:t>
      </w:r>
      <w:r w:rsidR="005639EC" w:rsidRPr="00050E5E">
        <w:rPr>
          <w:sz w:val="22"/>
          <w:szCs w:val="22"/>
          <w:lang w:val="en-GB"/>
        </w:rPr>
        <w:t>tender</w:t>
      </w:r>
      <w:r w:rsidR="00087A72" w:rsidRPr="00050E5E">
        <w:rPr>
          <w:sz w:val="22"/>
          <w:szCs w:val="22"/>
          <w:lang w:val="en-GB"/>
        </w:rPr>
        <w:t xml:space="preserve"> form)</w:t>
      </w:r>
      <w:r w:rsidR="00BE08EC" w:rsidRPr="00050E5E">
        <w:rPr>
          <w:sz w:val="22"/>
          <w:szCs w:val="22"/>
          <w:lang w:val="en-GB"/>
        </w:rPr>
        <w:t>.</w:t>
      </w:r>
    </w:p>
    <w:p w14:paraId="195C8042" w14:textId="77777777" w:rsidR="00BE08EC" w:rsidRPr="00050E5E" w:rsidRDefault="00BE08EC" w:rsidP="00050E5E">
      <w:pPr>
        <w:pStyle w:val="Blockquote"/>
        <w:ind w:right="357" w:hanging="3"/>
        <w:jc w:val="both"/>
        <w:rPr>
          <w:sz w:val="22"/>
          <w:szCs w:val="22"/>
          <w:lang w:val="en-GB"/>
        </w:rPr>
      </w:pPr>
      <w:r w:rsidRPr="00050E5E">
        <w:rPr>
          <w:sz w:val="22"/>
          <w:szCs w:val="22"/>
          <w:lang w:val="en-GB"/>
        </w:rPr>
        <w:t xml:space="preserve">The reference period which will be </w:t>
      </w:r>
      <w:proofErr w:type="gramStart"/>
      <w:r w:rsidRPr="00050E5E">
        <w:rPr>
          <w:sz w:val="22"/>
          <w:szCs w:val="22"/>
          <w:lang w:val="en-GB"/>
        </w:rPr>
        <w:t>taken into account</w:t>
      </w:r>
      <w:proofErr w:type="gramEnd"/>
      <w:r w:rsidRPr="00050E5E">
        <w:rPr>
          <w:sz w:val="22"/>
          <w:szCs w:val="22"/>
          <w:lang w:val="en-GB"/>
        </w:rPr>
        <w:t xml:space="preserve"> will be the last three</w:t>
      </w:r>
      <w:r w:rsidR="00862885" w:rsidRPr="00050E5E">
        <w:rPr>
          <w:sz w:val="22"/>
          <w:szCs w:val="22"/>
          <w:lang w:val="en-GB"/>
        </w:rPr>
        <w:t xml:space="preserve"> years </w:t>
      </w:r>
      <w:r w:rsidR="00771F97" w:rsidRPr="00050E5E">
        <w:rPr>
          <w:sz w:val="22"/>
          <w:szCs w:val="22"/>
          <w:lang w:val="en-GB"/>
        </w:rPr>
        <w:t>preceding the</w:t>
      </w:r>
      <w:r w:rsidRPr="00050E5E">
        <w:rPr>
          <w:sz w:val="22"/>
          <w:szCs w:val="22"/>
          <w:lang w:val="en-GB"/>
        </w:rPr>
        <w:t xml:space="preserve"> submission deadline.</w:t>
      </w:r>
    </w:p>
    <w:p w14:paraId="3EE22D0E" w14:textId="79B71697" w:rsidR="00235A71" w:rsidRPr="00050E5E" w:rsidRDefault="00BE783C" w:rsidP="00050E5E">
      <w:pPr>
        <w:pStyle w:val="Blockquote"/>
        <w:numPr>
          <w:ilvl w:val="0"/>
          <w:numId w:val="34"/>
        </w:numPr>
        <w:tabs>
          <w:tab w:val="clear" w:pos="360"/>
          <w:tab w:val="num" w:pos="720"/>
        </w:tabs>
        <w:ind w:left="720"/>
        <w:jc w:val="both"/>
        <w:rPr>
          <w:sz w:val="22"/>
          <w:szCs w:val="22"/>
          <w:lang w:val="en-GB"/>
        </w:rPr>
      </w:pPr>
      <w:r w:rsidRPr="00050E5E">
        <w:rPr>
          <w:sz w:val="22"/>
          <w:szCs w:val="22"/>
          <w:lang w:val="en-GB"/>
        </w:rPr>
        <w:t xml:space="preserve">at least </w:t>
      </w:r>
      <w:r w:rsidR="00C53CA0" w:rsidRPr="00050E5E">
        <w:rPr>
          <w:sz w:val="22"/>
          <w:szCs w:val="22"/>
          <w:lang w:val="en-GB"/>
        </w:rPr>
        <w:t>one</w:t>
      </w:r>
      <w:r w:rsidRPr="00050E5E">
        <w:rPr>
          <w:sz w:val="22"/>
          <w:szCs w:val="22"/>
          <w:lang w:val="en-GB"/>
        </w:rPr>
        <w:t xml:space="preserve"> staff currently work for the </w:t>
      </w:r>
      <w:r w:rsidR="00994EA3" w:rsidRPr="00050E5E">
        <w:rPr>
          <w:sz w:val="22"/>
          <w:szCs w:val="22"/>
          <w:lang w:val="en-GB"/>
        </w:rPr>
        <w:t>tenderer</w:t>
      </w:r>
      <w:r w:rsidRPr="00050E5E">
        <w:rPr>
          <w:sz w:val="22"/>
          <w:szCs w:val="22"/>
          <w:lang w:val="en-GB"/>
        </w:rPr>
        <w:t xml:space="preserve"> in fields related to this </w:t>
      </w:r>
      <w:proofErr w:type="gramStart"/>
      <w:r w:rsidRPr="00050E5E">
        <w:rPr>
          <w:sz w:val="22"/>
          <w:szCs w:val="22"/>
          <w:lang w:val="en-GB"/>
        </w:rPr>
        <w:t>contract;</w:t>
      </w:r>
      <w:proofErr w:type="gramEnd"/>
      <w:r w:rsidRPr="00050E5E">
        <w:rPr>
          <w:sz w:val="22"/>
          <w:szCs w:val="22"/>
          <w:lang w:val="en-GB"/>
        </w:rPr>
        <w:t xml:space="preserve"> and</w:t>
      </w:r>
    </w:p>
    <w:p w14:paraId="05E75179" w14:textId="206469EF" w:rsidR="00BE08EC" w:rsidRPr="00050E5E" w:rsidRDefault="00571687" w:rsidP="00050E5E">
      <w:pPr>
        <w:pStyle w:val="Blockquote"/>
        <w:ind w:left="720" w:right="357" w:hanging="360"/>
        <w:jc w:val="both"/>
        <w:rPr>
          <w:sz w:val="22"/>
          <w:szCs w:val="22"/>
          <w:lang w:val="en-GB"/>
        </w:rPr>
      </w:pPr>
      <w:r w:rsidRPr="00050E5E">
        <w:rPr>
          <w:b/>
          <w:sz w:val="22"/>
          <w:szCs w:val="22"/>
          <w:u w:val="single"/>
          <w:lang w:val="en-GB"/>
        </w:rPr>
        <w:t>3)</w:t>
      </w:r>
      <w:r w:rsidRPr="00050E5E">
        <w:rPr>
          <w:b/>
          <w:sz w:val="22"/>
          <w:szCs w:val="22"/>
          <w:u w:val="single"/>
          <w:lang w:val="en-GB"/>
        </w:rPr>
        <w:tab/>
      </w:r>
      <w:r w:rsidR="006F5FD0" w:rsidRPr="00050E5E">
        <w:rPr>
          <w:b/>
          <w:sz w:val="22"/>
          <w:szCs w:val="22"/>
          <w:u w:val="single"/>
          <w:lang w:val="en-GB"/>
        </w:rPr>
        <w:t xml:space="preserve">Technical capacity of </w:t>
      </w:r>
      <w:r w:rsidR="00C03AF5" w:rsidRPr="00050E5E">
        <w:rPr>
          <w:b/>
          <w:sz w:val="22"/>
          <w:szCs w:val="22"/>
          <w:u w:val="single"/>
          <w:lang w:val="en-GB"/>
        </w:rPr>
        <w:t>tenderer</w:t>
      </w:r>
      <w:r w:rsidR="006F5FD0" w:rsidRPr="00050E5E">
        <w:rPr>
          <w:b/>
          <w:sz w:val="22"/>
          <w:szCs w:val="22"/>
          <w:u w:val="single"/>
          <w:lang w:val="en-GB"/>
        </w:rPr>
        <w:t xml:space="preserve"> </w:t>
      </w:r>
      <w:r w:rsidR="00087A72" w:rsidRPr="00050E5E">
        <w:rPr>
          <w:sz w:val="22"/>
          <w:szCs w:val="22"/>
          <w:lang w:val="en-GB"/>
        </w:rPr>
        <w:t>(</w:t>
      </w:r>
      <w:r w:rsidR="006F5FD0" w:rsidRPr="00050E5E">
        <w:rPr>
          <w:sz w:val="22"/>
          <w:szCs w:val="22"/>
          <w:lang w:val="en-GB"/>
        </w:rPr>
        <w:t xml:space="preserve">based on items 5 and 6 of the </w:t>
      </w:r>
      <w:r w:rsidR="00994EA3" w:rsidRPr="00050E5E">
        <w:rPr>
          <w:sz w:val="22"/>
          <w:szCs w:val="22"/>
          <w:lang w:val="en-GB"/>
        </w:rPr>
        <w:t>tender</w:t>
      </w:r>
      <w:r w:rsidR="006F5FD0" w:rsidRPr="00050E5E">
        <w:rPr>
          <w:sz w:val="22"/>
          <w:szCs w:val="22"/>
          <w:lang w:val="en-GB"/>
        </w:rPr>
        <w:t xml:space="preserve"> form</w:t>
      </w:r>
      <w:r w:rsidR="00087A72" w:rsidRPr="00050E5E">
        <w:rPr>
          <w:sz w:val="22"/>
          <w:szCs w:val="22"/>
          <w:lang w:val="en-GB"/>
        </w:rPr>
        <w:t>)</w:t>
      </w:r>
      <w:r w:rsidR="00BE08EC" w:rsidRPr="00050E5E">
        <w:rPr>
          <w:sz w:val="22"/>
          <w:szCs w:val="22"/>
          <w:lang w:val="en-GB"/>
        </w:rPr>
        <w:t xml:space="preserve">. The reference period which will be </w:t>
      </w:r>
      <w:proofErr w:type="gramStart"/>
      <w:r w:rsidR="00BE08EC" w:rsidRPr="00050E5E">
        <w:rPr>
          <w:sz w:val="22"/>
          <w:szCs w:val="22"/>
          <w:lang w:val="en-GB"/>
        </w:rPr>
        <w:t>taken into account</w:t>
      </w:r>
      <w:proofErr w:type="gramEnd"/>
      <w:r w:rsidR="00BE08EC" w:rsidRPr="00050E5E">
        <w:rPr>
          <w:sz w:val="22"/>
          <w:szCs w:val="22"/>
          <w:lang w:val="en-GB"/>
        </w:rPr>
        <w:t xml:space="preserve"> will be the last three</w:t>
      </w:r>
      <w:r w:rsidR="00862885" w:rsidRPr="00050E5E">
        <w:rPr>
          <w:sz w:val="22"/>
          <w:szCs w:val="22"/>
          <w:lang w:val="en-GB"/>
        </w:rPr>
        <w:t xml:space="preserve"> years </w:t>
      </w:r>
      <w:r w:rsidR="00771F97" w:rsidRPr="00050E5E">
        <w:rPr>
          <w:sz w:val="22"/>
          <w:szCs w:val="22"/>
          <w:lang w:val="en-GB"/>
        </w:rPr>
        <w:t>preceding the</w:t>
      </w:r>
      <w:r w:rsidR="00BE08EC" w:rsidRPr="00050E5E">
        <w:rPr>
          <w:sz w:val="22"/>
          <w:szCs w:val="22"/>
          <w:lang w:val="en-GB"/>
        </w:rPr>
        <w:t xml:space="preserve"> submission deadline.</w:t>
      </w:r>
    </w:p>
    <w:p w14:paraId="1853E77F" w14:textId="41C55BD4" w:rsidR="001661F7" w:rsidRPr="00050E5E" w:rsidRDefault="00BE783C" w:rsidP="00050E5E">
      <w:pPr>
        <w:pStyle w:val="Blockquote"/>
        <w:numPr>
          <w:ilvl w:val="0"/>
          <w:numId w:val="34"/>
        </w:numPr>
        <w:tabs>
          <w:tab w:val="clear" w:pos="360"/>
          <w:tab w:val="left" w:pos="709"/>
        </w:tabs>
        <w:ind w:left="709" w:hanging="283"/>
        <w:jc w:val="both"/>
        <w:rPr>
          <w:sz w:val="22"/>
          <w:szCs w:val="22"/>
          <w:lang w:val="en-GB"/>
        </w:rPr>
      </w:pPr>
      <w:r w:rsidRPr="00050E5E">
        <w:rPr>
          <w:sz w:val="22"/>
          <w:szCs w:val="22"/>
          <w:lang w:val="en-GB"/>
        </w:rPr>
        <w:t xml:space="preserve">the </w:t>
      </w:r>
      <w:r w:rsidR="00994EA3" w:rsidRPr="00050E5E">
        <w:rPr>
          <w:sz w:val="22"/>
          <w:szCs w:val="22"/>
          <w:lang w:val="en-GB"/>
        </w:rPr>
        <w:t>tenderer</w:t>
      </w:r>
      <w:r w:rsidRPr="00050E5E">
        <w:rPr>
          <w:sz w:val="22"/>
          <w:szCs w:val="22"/>
          <w:lang w:val="en-GB"/>
        </w:rPr>
        <w:t xml:space="preserve"> has </w:t>
      </w:r>
      <w:r w:rsidR="001661F7" w:rsidRPr="00050E5E">
        <w:rPr>
          <w:sz w:val="22"/>
          <w:szCs w:val="22"/>
          <w:lang w:val="en-GB"/>
        </w:rPr>
        <w:t xml:space="preserve">provided services under </w:t>
      </w:r>
      <w:r w:rsidRPr="00050E5E">
        <w:rPr>
          <w:sz w:val="22"/>
          <w:szCs w:val="22"/>
          <w:lang w:val="en-GB"/>
        </w:rPr>
        <w:t xml:space="preserve">at least </w:t>
      </w:r>
      <w:r w:rsidR="00C53CA0" w:rsidRPr="00050E5E">
        <w:rPr>
          <w:sz w:val="22"/>
          <w:szCs w:val="22"/>
          <w:lang w:val="en-GB"/>
        </w:rPr>
        <w:t>one</w:t>
      </w:r>
      <w:r w:rsidRPr="00050E5E">
        <w:rPr>
          <w:sz w:val="22"/>
          <w:szCs w:val="22"/>
          <w:lang w:val="en-GB"/>
        </w:rPr>
        <w:t xml:space="preserve"> </w:t>
      </w:r>
      <w:r w:rsidR="001661F7" w:rsidRPr="00050E5E">
        <w:rPr>
          <w:sz w:val="22"/>
          <w:szCs w:val="22"/>
          <w:lang w:val="en-GB"/>
        </w:rPr>
        <w:t xml:space="preserve">contract </w:t>
      </w:r>
      <w:r w:rsidRPr="00050E5E">
        <w:rPr>
          <w:sz w:val="22"/>
          <w:szCs w:val="22"/>
          <w:lang w:val="en-GB"/>
        </w:rPr>
        <w:t xml:space="preserve">with a budget of at least that of this contract in </w:t>
      </w:r>
      <w:r w:rsidR="00830801" w:rsidRPr="00050E5E">
        <w:rPr>
          <w:sz w:val="22"/>
          <w:szCs w:val="22"/>
          <w:lang w:val="en-GB"/>
        </w:rPr>
        <w:t>software</w:t>
      </w:r>
      <w:r w:rsidR="009B7484" w:rsidRPr="00050E5E">
        <w:rPr>
          <w:sz w:val="22"/>
          <w:szCs w:val="22"/>
          <w:lang w:val="en-GB"/>
        </w:rPr>
        <w:t xml:space="preserve"> product</w:t>
      </w:r>
      <w:r w:rsidR="00E71B0C" w:rsidRPr="00050E5E">
        <w:rPr>
          <w:sz w:val="22"/>
          <w:szCs w:val="22"/>
          <w:lang w:val="en-GB"/>
        </w:rPr>
        <w:t>s</w:t>
      </w:r>
      <w:r w:rsidR="009B7484" w:rsidRPr="00050E5E">
        <w:rPr>
          <w:sz w:val="22"/>
          <w:szCs w:val="22"/>
          <w:lang w:val="en-GB"/>
        </w:rPr>
        <w:t xml:space="preserve"> and services for tourism, tourist</w:t>
      </w:r>
      <w:r w:rsidR="00E71B0C" w:rsidRPr="00050E5E">
        <w:rPr>
          <w:sz w:val="22"/>
          <w:szCs w:val="22"/>
          <w:lang w:val="en-GB"/>
        </w:rPr>
        <w:t>s’</w:t>
      </w:r>
      <w:r w:rsidR="009B7484" w:rsidRPr="00050E5E">
        <w:rPr>
          <w:sz w:val="22"/>
          <w:szCs w:val="22"/>
          <w:lang w:val="en-GB"/>
        </w:rPr>
        <w:t xml:space="preserve"> mobile app development, </w:t>
      </w:r>
      <w:r w:rsidR="00E71B0C" w:rsidRPr="00050E5E">
        <w:rPr>
          <w:sz w:val="22"/>
          <w:szCs w:val="22"/>
          <w:lang w:val="en-GB"/>
        </w:rPr>
        <w:t>software products</w:t>
      </w:r>
      <w:r w:rsidR="00677145" w:rsidRPr="00050E5E">
        <w:rPr>
          <w:sz w:val="22"/>
          <w:szCs w:val="22"/>
          <w:lang w:val="en-GB"/>
        </w:rPr>
        <w:t>,</w:t>
      </w:r>
      <w:r w:rsidR="00E71B0C" w:rsidRPr="00050E5E">
        <w:rPr>
          <w:sz w:val="22"/>
          <w:szCs w:val="22"/>
          <w:lang w:val="en-GB"/>
        </w:rPr>
        <w:t xml:space="preserve"> and services for accessibility, </w:t>
      </w:r>
      <w:r w:rsidR="005572F7" w:rsidRPr="00050E5E">
        <w:rPr>
          <w:sz w:val="22"/>
          <w:szCs w:val="22"/>
          <w:lang w:val="en-GB"/>
        </w:rPr>
        <w:t xml:space="preserve">mobile apps for accessibility, </w:t>
      </w:r>
      <w:r w:rsidR="00417CD3" w:rsidRPr="00050E5E">
        <w:rPr>
          <w:sz w:val="22"/>
          <w:szCs w:val="22"/>
          <w:lang w:val="en-GB"/>
        </w:rPr>
        <w:t xml:space="preserve">mobile apps for </w:t>
      </w:r>
      <w:r w:rsidR="00677145" w:rsidRPr="00050E5E">
        <w:rPr>
          <w:sz w:val="22"/>
          <w:szCs w:val="22"/>
          <w:lang w:val="en-GB"/>
        </w:rPr>
        <w:t>public participation and/or crowdsourcing</w:t>
      </w:r>
      <w:r w:rsidR="00C31064">
        <w:rPr>
          <w:sz w:val="22"/>
          <w:szCs w:val="22"/>
          <w:lang w:val="en-GB"/>
        </w:rPr>
        <w:t xml:space="preserve"> </w:t>
      </w:r>
      <w:r w:rsidR="008226F9">
        <w:rPr>
          <w:sz w:val="22"/>
          <w:szCs w:val="22"/>
          <w:lang w:val="en-GB"/>
        </w:rPr>
        <w:t>(</w:t>
      </w:r>
      <w:r w:rsidR="009268C4">
        <w:rPr>
          <w:sz w:val="22"/>
          <w:szCs w:val="22"/>
          <w:lang w:val="en-GB"/>
        </w:rPr>
        <w:t xml:space="preserve">for </w:t>
      </w:r>
      <w:r w:rsidR="008226F9">
        <w:rPr>
          <w:sz w:val="22"/>
          <w:szCs w:val="22"/>
          <w:lang w:val="en-GB"/>
        </w:rPr>
        <w:t>lot 1)</w:t>
      </w:r>
      <w:r w:rsidR="009268C4">
        <w:rPr>
          <w:sz w:val="22"/>
          <w:szCs w:val="22"/>
          <w:lang w:val="en-GB"/>
        </w:rPr>
        <w:t>; and for</w:t>
      </w:r>
      <w:r w:rsidR="00C31064">
        <w:rPr>
          <w:sz w:val="22"/>
          <w:szCs w:val="22"/>
          <w:lang w:val="en-GB"/>
        </w:rPr>
        <w:t xml:space="preserve"> public awa</w:t>
      </w:r>
      <w:r w:rsidR="008226F9">
        <w:rPr>
          <w:sz w:val="22"/>
          <w:szCs w:val="22"/>
          <w:lang w:val="en-GB"/>
        </w:rPr>
        <w:t>reness (</w:t>
      </w:r>
      <w:r w:rsidR="009268C4">
        <w:rPr>
          <w:sz w:val="22"/>
          <w:szCs w:val="22"/>
          <w:lang w:val="en-GB"/>
        </w:rPr>
        <w:t xml:space="preserve">for </w:t>
      </w:r>
      <w:r w:rsidR="008226F9">
        <w:rPr>
          <w:sz w:val="22"/>
          <w:szCs w:val="22"/>
          <w:lang w:val="en-GB"/>
        </w:rPr>
        <w:t>lot 2)</w:t>
      </w:r>
      <w:r w:rsidR="005572F7" w:rsidRPr="00050E5E">
        <w:rPr>
          <w:sz w:val="22"/>
          <w:szCs w:val="22"/>
          <w:lang w:val="en-GB"/>
        </w:rPr>
        <w:t xml:space="preserve"> </w:t>
      </w:r>
      <w:r w:rsidR="001661F7" w:rsidRPr="00050E5E">
        <w:rPr>
          <w:sz w:val="22"/>
          <w:szCs w:val="22"/>
          <w:lang w:val="en-GB"/>
        </w:rPr>
        <w:t>which</w:t>
      </w:r>
      <w:r w:rsidR="00235A71" w:rsidRPr="00050E5E">
        <w:rPr>
          <w:sz w:val="22"/>
          <w:szCs w:val="22"/>
          <w:lang w:val="en-GB"/>
        </w:rPr>
        <w:t xml:space="preserve"> </w:t>
      </w:r>
      <w:r w:rsidR="001661F7" w:rsidRPr="00050E5E">
        <w:rPr>
          <w:sz w:val="22"/>
          <w:szCs w:val="22"/>
          <w:lang w:val="en-GB"/>
        </w:rPr>
        <w:t>w</w:t>
      </w:r>
      <w:r w:rsidR="00C560F4" w:rsidRPr="00050E5E">
        <w:rPr>
          <w:sz w:val="22"/>
          <w:szCs w:val="22"/>
          <w:lang w:val="en-GB"/>
        </w:rPr>
        <w:t>as</w:t>
      </w:r>
      <w:r w:rsidR="001661F7" w:rsidRPr="00050E5E">
        <w:rPr>
          <w:sz w:val="22"/>
          <w:szCs w:val="22"/>
          <w:lang w:val="en-GB"/>
        </w:rPr>
        <w:t xml:space="preserve"> implemented at any moment during the following period: </w:t>
      </w:r>
      <w:r w:rsidR="00C560F4" w:rsidRPr="00050E5E">
        <w:rPr>
          <w:sz w:val="22"/>
          <w:szCs w:val="22"/>
          <w:lang w:val="en-GB"/>
        </w:rPr>
        <w:t xml:space="preserve">March 2019 </w:t>
      </w:r>
      <w:r w:rsidR="009B7484" w:rsidRPr="00050E5E">
        <w:rPr>
          <w:sz w:val="22"/>
          <w:szCs w:val="22"/>
          <w:lang w:val="en-GB"/>
        </w:rPr>
        <w:t>–</w:t>
      </w:r>
      <w:r w:rsidR="00C560F4" w:rsidRPr="00050E5E">
        <w:rPr>
          <w:sz w:val="22"/>
          <w:szCs w:val="22"/>
          <w:lang w:val="en-GB"/>
        </w:rPr>
        <w:t xml:space="preserve"> </w:t>
      </w:r>
      <w:r w:rsidR="009B7484" w:rsidRPr="00050E5E">
        <w:rPr>
          <w:sz w:val="22"/>
          <w:szCs w:val="22"/>
          <w:lang w:val="en-GB"/>
        </w:rPr>
        <w:t>March 2022</w:t>
      </w:r>
      <w:r w:rsidR="001661F7" w:rsidRPr="00050E5E">
        <w:rPr>
          <w:sz w:val="22"/>
          <w:szCs w:val="22"/>
          <w:lang w:val="en-GB"/>
        </w:rPr>
        <w:t>.</w:t>
      </w:r>
    </w:p>
    <w:p w14:paraId="04E0E162" w14:textId="23522069" w:rsidR="00B644B9" w:rsidRPr="00050E5E" w:rsidRDefault="00B644B9" w:rsidP="00050E5E">
      <w:pPr>
        <w:pStyle w:val="Blockquote"/>
        <w:tabs>
          <w:tab w:val="left" w:pos="284"/>
        </w:tabs>
        <w:jc w:val="both"/>
        <w:rPr>
          <w:sz w:val="22"/>
          <w:szCs w:val="22"/>
          <w:lang w:val="en-GB"/>
        </w:rPr>
      </w:pPr>
      <w:r w:rsidRPr="00050E5E">
        <w:rPr>
          <w:sz w:val="22"/>
          <w:szCs w:val="22"/>
          <w:lang w:val="en-GB"/>
        </w:rPr>
        <w:t xml:space="preserve">This means that the service contract the tenderer refers to could have been started at any time during the indicated </w:t>
      </w:r>
      <w:proofErr w:type="gramStart"/>
      <w:r w:rsidRPr="00050E5E">
        <w:rPr>
          <w:sz w:val="22"/>
          <w:szCs w:val="22"/>
          <w:lang w:val="en-GB"/>
        </w:rPr>
        <w:t>period</w:t>
      </w:r>
      <w:proofErr w:type="gramEnd"/>
      <w:r w:rsidRPr="00050E5E">
        <w:rPr>
          <w:sz w:val="22"/>
          <w:szCs w:val="22"/>
          <w:lang w:val="en-GB"/>
        </w:rPr>
        <w:t xml:space="preserve"> but it does not necessarily have to be completed during that period, nor implemented during the entire period. Tenderers are allowed to refer either to service contracts completed within the reference period (although started earlier) or to service contracts not yet completed. Only the portion satisfactorily completed during the reference period will be taken into </w:t>
      </w:r>
      <w:r w:rsidRPr="00050E5E">
        <w:rPr>
          <w:sz w:val="22"/>
          <w:szCs w:val="22"/>
          <w:lang w:val="en-GB"/>
        </w:rPr>
        <w:lastRenderedPageBreak/>
        <w:t>consideration. This portion will have to be supported by documentary evidence (-statement or certificate from the entity which awarded the contract, proof of payment) also detailing its value.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p>
    <w:p w14:paraId="3364A443" w14:textId="54EB3B74" w:rsidR="007121FB" w:rsidRPr="00050E5E" w:rsidRDefault="004F00C7" w:rsidP="00050E5E">
      <w:pPr>
        <w:pStyle w:val="Blockquote"/>
        <w:jc w:val="both"/>
        <w:rPr>
          <w:sz w:val="22"/>
          <w:szCs w:val="22"/>
          <w:lang w:val="en-GB"/>
        </w:rPr>
      </w:pPr>
      <w:r w:rsidRPr="00050E5E">
        <w:rPr>
          <w:sz w:val="22"/>
          <w:szCs w:val="22"/>
          <w:lang w:val="en-GB"/>
        </w:rPr>
        <w:t xml:space="preserve">Previous experience which would have </w:t>
      </w:r>
      <w:r w:rsidR="00C147B2" w:rsidRPr="00050E5E">
        <w:rPr>
          <w:sz w:val="22"/>
          <w:szCs w:val="22"/>
          <w:lang w:val="en-GB"/>
        </w:rPr>
        <w:t>led</w:t>
      </w:r>
      <w:r w:rsidRPr="00050E5E">
        <w:rPr>
          <w:sz w:val="22"/>
          <w:szCs w:val="22"/>
          <w:lang w:val="en-GB"/>
        </w:rPr>
        <w:t xml:space="preserve"> to breach of contract and termination by a </w:t>
      </w:r>
      <w:r w:rsidR="00D33DD9" w:rsidRPr="00050E5E">
        <w:rPr>
          <w:sz w:val="22"/>
          <w:szCs w:val="22"/>
          <w:lang w:val="en-GB"/>
        </w:rPr>
        <w:t>c</w:t>
      </w:r>
      <w:r w:rsidRPr="00050E5E">
        <w:rPr>
          <w:sz w:val="22"/>
          <w:szCs w:val="22"/>
          <w:lang w:val="en-GB"/>
        </w:rPr>
        <w:t xml:space="preserve">ontracting </w:t>
      </w:r>
      <w:r w:rsidR="00D33DD9" w:rsidRPr="00050E5E">
        <w:rPr>
          <w:sz w:val="22"/>
          <w:szCs w:val="22"/>
          <w:lang w:val="en-GB"/>
        </w:rPr>
        <w:t>a</w:t>
      </w:r>
      <w:r w:rsidRPr="00050E5E">
        <w:rPr>
          <w:sz w:val="22"/>
          <w:szCs w:val="22"/>
          <w:lang w:val="en-GB"/>
        </w:rPr>
        <w:t>uthority shall not be used as reference. This is also applicable concerning the previous experience of experts required under a fee-based service contract.</w:t>
      </w:r>
    </w:p>
    <w:p w14:paraId="36FE5E2E" w14:textId="77777777" w:rsidR="006F5FD0" w:rsidRPr="00050E5E" w:rsidRDefault="00994EA3" w:rsidP="00050E5E">
      <w:pPr>
        <w:ind w:left="709" w:hanging="349"/>
        <w:outlineLvl w:val="0"/>
        <w:rPr>
          <w:sz w:val="22"/>
          <w:szCs w:val="22"/>
          <w:lang w:val="en-GB"/>
        </w:rPr>
      </w:pPr>
      <w:r w:rsidRPr="00050E5E">
        <w:rPr>
          <w:rStyle w:val="Strong"/>
          <w:sz w:val="22"/>
          <w:szCs w:val="22"/>
          <w:lang w:val="en-GB"/>
        </w:rPr>
        <w:t>17</w:t>
      </w:r>
      <w:r w:rsidR="006F5FD0" w:rsidRPr="00050E5E">
        <w:rPr>
          <w:rStyle w:val="Strong"/>
          <w:sz w:val="22"/>
          <w:szCs w:val="22"/>
          <w:lang w:val="en-GB"/>
        </w:rPr>
        <w:t xml:space="preserve">. </w:t>
      </w:r>
      <w:r w:rsidR="00584BF4" w:rsidRPr="00050E5E">
        <w:rPr>
          <w:rStyle w:val="Strong"/>
          <w:sz w:val="22"/>
          <w:szCs w:val="22"/>
          <w:lang w:val="en-GB"/>
        </w:rPr>
        <w:tab/>
      </w:r>
      <w:r w:rsidR="006F5FD0" w:rsidRPr="00050E5E">
        <w:rPr>
          <w:rStyle w:val="Strong"/>
          <w:sz w:val="22"/>
          <w:szCs w:val="22"/>
          <w:lang w:val="en-GB"/>
        </w:rPr>
        <w:t>Award criteria</w:t>
      </w:r>
    </w:p>
    <w:p w14:paraId="576FDB42" w14:textId="72061EAB" w:rsidR="006F5FD0" w:rsidRPr="00050E5E" w:rsidRDefault="00F33539" w:rsidP="00050E5E">
      <w:pPr>
        <w:pStyle w:val="Blockquote"/>
        <w:ind w:right="1"/>
        <w:jc w:val="both"/>
        <w:rPr>
          <w:sz w:val="22"/>
          <w:szCs w:val="22"/>
          <w:lang w:val="en-GB"/>
        </w:rPr>
      </w:pPr>
      <w:r w:rsidRPr="00050E5E">
        <w:rPr>
          <w:sz w:val="22"/>
          <w:szCs w:val="22"/>
          <w:lang w:val="en-GB"/>
        </w:rPr>
        <w:t>Best</w:t>
      </w:r>
      <w:r w:rsidR="00060001" w:rsidRPr="00050E5E">
        <w:rPr>
          <w:sz w:val="22"/>
          <w:szCs w:val="22"/>
          <w:lang w:val="en-GB"/>
        </w:rPr>
        <w:t xml:space="preserve"> </w:t>
      </w:r>
      <w:r w:rsidR="00060001" w:rsidRPr="00050E5E">
        <w:rPr>
          <w:lang w:val="en-GB"/>
        </w:rPr>
        <w:t xml:space="preserve">price-quality </w:t>
      </w:r>
      <w:r w:rsidRPr="00050E5E">
        <w:rPr>
          <w:lang w:val="en-GB"/>
        </w:rPr>
        <w:t>ratio</w:t>
      </w:r>
      <w:r w:rsidR="00397073" w:rsidRPr="00050E5E">
        <w:rPr>
          <w:sz w:val="22"/>
          <w:szCs w:val="22"/>
          <w:lang w:val="en-GB"/>
        </w:rPr>
        <w:t>.</w:t>
      </w:r>
    </w:p>
    <w:p w14:paraId="793B56EE" w14:textId="5AAFCFC8" w:rsidR="006F5FD0" w:rsidRPr="00050E5E" w:rsidRDefault="00CC52C3" w:rsidP="00050E5E">
      <w:pPr>
        <w:rPr>
          <w:sz w:val="22"/>
          <w:szCs w:val="22"/>
          <w:lang w:val="en-GB"/>
        </w:rPr>
      </w:pPr>
      <w:r w:rsidRPr="00050E5E">
        <w:rPr>
          <w:noProof/>
          <w:snapToGrid/>
          <w:sz w:val="22"/>
          <w:szCs w:val="22"/>
          <w:lang w:val="en-GB"/>
        </w:rPr>
        <mc:AlternateContent>
          <mc:Choice Requires="wps">
            <w:drawing>
              <wp:anchor distT="0" distB="0" distL="114300" distR="114300" simplePos="0" relativeHeight="251659776" behindDoc="0" locked="0" layoutInCell="0" allowOverlap="1" wp14:anchorId="45BE0657" wp14:editId="06B14BA6">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4F3B"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482CE23" w14:textId="77777777" w:rsidR="006F5FD0" w:rsidRPr="00050E5E" w:rsidRDefault="00994EA3" w:rsidP="00050E5E">
      <w:pPr>
        <w:keepNext/>
        <w:jc w:val="center"/>
        <w:rPr>
          <w:sz w:val="28"/>
          <w:szCs w:val="28"/>
          <w:lang w:val="en-GB"/>
        </w:rPr>
      </w:pPr>
      <w:r w:rsidRPr="00050E5E">
        <w:rPr>
          <w:rStyle w:val="Strong"/>
          <w:sz w:val="28"/>
          <w:szCs w:val="28"/>
          <w:lang w:val="en-GB"/>
        </w:rPr>
        <w:t>TENDERING</w:t>
      </w:r>
    </w:p>
    <w:p w14:paraId="592B0149" w14:textId="77777777" w:rsidR="006F5FD0" w:rsidRPr="00050E5E" w:rsidRDefault="00994EA3" w:rsidP="00050E5E">
      <w:pPr>
        <w:keepNext/>
        <w:ind w:left="709" w:hanging="352"/>
        <w:outlineLvl w:val="0"/>
        <w:rPr>
          <w:sz w:val="22"/>
          <w:szCs w:val="22"/>
          <w:lang w:val="en-GB"/>
        </w:rPr>
      </w:pPr>
      <w:r w:rsidRPr="00050E5E">
        <w:rPr>
          <w:rStyle w:val="Strong"/>
          <w:sz w:val="22"/>
          <w:szCs w:val="22"/>
          <w:lang w:val="en-GB"/>
        </w:rPr>
        <w:t>18</w:t>
      </w:r>
      <w:r w:rsidR="006F5FD0" w:rsidRPr="00050E5E">
        <w:rPr>
          <w:rStyle w:val="Strong"/>
          <w:sz w:val="22"/>
          <w:szCs w:val="22"/>
          <w:lang w:val="en-GB"/>
        </w:rPr>
        <w:t xml:space="preserve">. </w:t>
      </w:r>
      <w:r w:rsidR="00584BF4" w:rsidRPr="00050E5E">
        <w:rPr>
          <w:rStyle w:val="Strong"/>
          <w:sz w:val="22"/>
          <w:szCs w:val="22"/>
          <w:lang w:val="en-GB"/>
        </w:rPr>
        <w:tab/>
      </w:r>
      <w:r w:rsidR="006F5FD0" w:rsidRPr="00050E5E">
        <w:rPr>
          <w:rStyle w:val="Strong"/>
          <w:sz w:val="22"/>
          <w:szCs w:val="22"/>
          <w:lang w:val="en-GB"/>
        </w:rPr>
        <w:t xml:space="preserve">Deadline for </w:t>
      </w:r>
      <w:r w:rsidR="0013314C" w:rsidRPr="00050E5E">
        <w:rPr>
          <w:rStyle w:val="Strong"/>
          <w:sz w:val="22"/>
          <w:szCs w:val="22"/>
          <w:lang w:val="en-GB"/>
        </w:rPr>
        <w:t xml:space="preserve">submission </w:t>
      </w:r>
      <w:r w:rsidR="006F5FD0" w:rsidRPr="00050E5E">
        <w:rPr>
          <w:rStyle w:val="Strong"/>
          <w:sz w:val="22"/>
          <w:szCs w:val="22"/>
          <w:lang w:val="en-GB"/>
        </w:rPr>
        <w:t xml:space="preserve">of </w:t>
      </w:r>
      <w:r w:rsidRPr="00050E5E">
        <w:rPr>
          <w:rStyle w:val="Strong"/>
          <w:sz w:val="22"/>
          <w:szCs w:val="22"/>
          <w:lang w:val="en-GB"/>
        </w:rPr>
        <w:t>tenders</w:t>
      </w:r>
    </w:p>
    <w:p w14:paraId="61DD2F00" w14:textId="77777777" w:rsidR="006F5FD0" w:rsidRPr="00050E5E" w:rsidRDefault="00994EA3" w:rsidP="00050E5E">
      <w:pPr>
        <w:pStyle w:val="Blockquote"/>
        <w:jc w:val="both"/>
        <w:rPr>
          <w:i/>
          <w:sz w:val="22"/>
          <w:szCs w:val="22"/>
          <w:lang w:val="en-GB"/>
        </w:rPr>
      </w:pPr>
      <w:r w:rsidRPr="00050E5E">
        <w:rPr>
          <w:rStyle w:val="Emphasis"/>
          <w:i w:val="0"/>
          <w:sz w:val="22"/>
          <w:szCs w:val="22"/>
          <w:lang w:val="en-GB"/>
        </w:rPr>
        <w:t xml:space="preserve">The deadline for </w:t>
      </w:r>
      <w:r w:rsidR="0013314C" w:rsidRPr="00050E5E">
        <w:rPr>
          <w:rStyle w:val="Emphasis"/>
          <w:i w:val="0"/>
          <w:sz w:val="22"/>
          <w:szCs w:val="22"/>
          <w:lang w:val="en-GB"/>
        </w:rPr>
        <w:t xml:space="preserve">submission </w:t>
      </w:r>
      <w:r w:rsidRPr="00050E5E">
        <w:rPr>
          <w:rStyle w:val="Emphasis"/>
          <w:i w:val="0"/>
          <w:sz w:val="22"/>
          <w:szCs w:val="22"/>
          <w:lang w:val="en-GB"/>
        </w:rPr>
        <w:t xml:space="preserve">of tenders is specified in point 8 of the </w:t>
      </w:r>
      <w:r w:rsidR="00881C2D" w:rsidRPr="00050E5E">
        <w:rPr>
          <w:rStyle w:val="Emphasis"/>
          <w:i w:val="0"/>
          <w:sz w:val="22"/>
          <w:szCs w:val="22"/>
          <w:lang w:val="en-GB"/>
        </w:rPr>
        <w:t>i</w:t>
      </w:r>
      <w:r w:rsidRPr="00050E5E">
        <w:rPr>
          <w:rStyle w:val="Emphasis"/>
          <w:i w:val="0"/>
          <w:sz w:val="22"/>
          <w:szCs w:val="22"/>
          <w:lang w:val="en-GB"/>
        </w:rPr>
        <w:t xml:space="preserve">nstruction to </w:t>
      </w:r>
      <w:r w:rsidR="00881C2D" w:rsidRPr="00050E5E">
        <w:rPr>
          <w:rStyle w:val="Emphasis"/>
          <w:i w:val="0"/>
          <w:sz w:val="22"/>
          <w:szCs w:val="22"/>
          <w:lang w:val="en-GB"/>
        </w:rPr>
        <w:t>t</w:t>
      </w:r>
      <w:r w:rsidRPr="00050E5E">
        <w:rPr>
          <w:rStyle w:val="Emphasis"/>
          <w:i w:val="0"/>
          <w:sz w:val="22"/>
          <w:szCs w:val="22"/>
          <w:lang w:val="en-GB"/>
        </w:rPr>
        <w:t>enderers.</w:t>
      </w:r>
      <w:r w:rsidRPr="00050E5E" w:rsidDel="00994EA3">
        <w:rPr>
          <w:rStyle w:val="Emphasis"/>
          <w:i w:val="0"/>
          <w:sz w:val="22"/>
          <w:szCs w:val="22"/>
          <w:lang w:val="en-GB"/>
        </w:rPr>
        <w:t xml:space="preserve">    </w:t>
      </w:r>
    </w:p>
    <w:p w14:paraId="7D60F8E6" w14:textId="77777777" w:rsidR="006F5FD0" w:rsidRPr="00050E5E" w:rsidRDefault="00994EA3" w:rsidP="00050E5E">
      <w:pPr>
        <w:ind w:left="709" w:hanging="349"/>
        <w:outlineLvl w:val="0"/>
        <w:rPr>
          <w:sz w:val="22"/>
          <w:szCs w:val="22"/>
          <w:lang w:val="en-GB"/>
        </w:rPr>
      </w:pPr>
      <w:r w:rsidRPr="00050E5E">
        <w:rPr>
          <w:rStyle w:val="Strong"/>
          <w:sz w:val="22"/>
          <w:szCs w:val="22"/>
          <w:lang w:val="en-GB"/>
        </w:rPr>
        <w:t>19</w:t>
      </w:r>
      <w:r w:rsidR="006F5FD0"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 xml:space="preserve">Tender </w:t>
      </w:r>
      <w:r w:rsidR="006F5FD0" w:rsidRPr="00050E5E">
        <w:rPr>
          <w:rStyle w:val="Strong"/>
          <w:sz w:val="22"/>
          <w:szCs w:val="22"/>
          <w:lang w:val="en-GB"/>
        </w:rPr>
        <w:t>format and details to be provided</w:t>
      </w:r>
    </w:p>
    <w:p w14:paraId="0C3990F6" w14:textId="77777777" w:rsidR="006F5FD0" w:rsidRPr="00050E5E" w:rsidRDefault="00994EA3" w:rsidP="00050E5E">
      <w:pPr>
        <w:pStyle w:val="Blockquote"/>
        <w:jc w:val="both"/>
        <w:rPr>
          <w:sz w:val="22"/>
          <w:szCs w:val="22"/>
          <w:lang w:val="en-GB"/>
        </w:rPr>
      </w:pPr>
      <w:r w:rsidRPr="00050E5E">
        <w:rPr>
          <w:rStyle w:val="Strong"/>
          <w:b w:val="0"/>
          <w:sz w:val="22"/>
          <w:szCs w:val="22"/>
          <w:lang w:val="en-GB"/>
        </w:rPr>
        <w:t>Tenders</w:t>
      </w:r>
      <w:r w:rsidR="006F5FD0" w:rsidRPr="00050E5E">
        <w:rPr>
          <w:rStyle w:val="Strong"/>
          <w:b w:val="0"/>
          <w:sz w:val="22"/>
          <w:szCs w:val="22"/>
          <w:lang w:val="en-GB"/>
        </w:rPr>
        <w:t xml:space="preserve"> must be submitted using the standard </w:t>
      </w:r>
      <w:r w:rsidRPr="00050E5E">
        <w:rPr>
          <w:rStyle w:val="Strong"/>
          <w:b w:val="0"/>
          <w:sz w:val="22"/>
          <w:szCs w:val="22"/>
          <w:lang w:val="en-GB"/>
        </w:rPr>
        <w:t>tender</w:t>
      </w:r>
      <w:r w:rsidR="006F5FD0" w:rsidRPr="00050E5E">
        <w:rPr>
          <w:rStyle w:val="Strong"/>
          <w:b w:val="0"/>
          <w:sz w:val="22"/>
          <w:szCs w:val="22"/>
          <w:lang w:val="en-GB"/>
        </w:rPr>
        <w:t xml:space="preserve"> form</w:t>
      </w:r>
      <w:r w:rsidR="006F5FD0" w:rsidRPr="00050E5E">
        <w:rPr>
          <w:sz w:val="22"/>
          <w:szCs w:val="22"/>
          <w:lang w:val="en-GB"/>
        </w:rPr>
        <w:t xml:space="preserve"> </w:t>
      </w:r>
      <w:r w:rsidRPr="00050E5E">
        <w:rPr>
          <w:sz w:val="22"/>
          <w:szCs w:val="22"/>
          <w:lang w:val="en-GB"/>
        </w:rPr>
        <w:t>for</w:t>
      </w:r>
      <w:r w:rsidR="00A046E7" w:rsidRPr="00050E5E">
        <w:rPr>
          <w:sz w:val="22"/>
          <w:szCs w:val="22"/>
          <w:lang w:val="en-GB"/>
        </w:rPr>
        <w:t xml:space="preserve"> simplified </w:t>
      </w:r>
      <w:r w:rsidR="00881C2D" w:rsidRPr="00050E5E">
        <w:rPr>
          <w:sz w:val="22"/>
          <w:szCs w:val="22"/>
          <w:lang w:val="en-GB"/>
        </w:rPr>
        <w:t>p</w:t>
      </w:r>
      <w:r w:rsidRPr="00050E5E">
        <w:rPr>
          <w:sz w:val="22"/>
          <w:szCs w:val="22"/>
          <w:lang w:val="en-GB"/>
        </w:rPr>
        <w:t>rocedures</w:t>
      </w:r>
      <w:r w:rsidR="009B06B5" w:rsidRPr="00050E5E">
        <w:rPr>
          <w:sz w:val="22"/>
          <w:szCs w:val="22"/>
          <w:lang w:val="en-GB"/>
        </w:rPr>
        <w:t xml:space="preserve">, the format and instructions of which must be strictly observed. The </w:t>
      </w:r>
      <w:r w:rsidRPr="00050E5E">
        <w:rPr>
          <w:sz w:val="22"/>
          <w:szCs w:val="22"/>
          <w:lang w:val="en-GB"/>
        </w:rPr>
        <w:t>tender</w:t>
      </w:r>
      <w:r w:rsidR="009B06B5" w:rsidRPr="00050E5E">
        <w:rPr>
          <w:sz w:val="22"/>
          <w:szCs w:val="22"/>
          <w:lang w:val="en-GB"/>
        </w:rPr>
        <w:t xml:space="preserve"> form is </w:t>
      </w:r>
      <w:r w:rsidR="006F5FD0" w:rsidRPr="00050E5E">
        <w:rPr>
          <w:sz w:val="22"/>
          <w:szCs w:val="22"/>
          <w:lang w:val="en-GB"/>
        </w:rPr>
        <w:t xml:space="preserve">available from the following </w:t>
      </w:r>
      <w:r w:rsidR="00881C2D" w:rsidRPr="00050E5E">
        <w:rPr>
          <w:sz w:val="22"/>
          <w:szCs w:val="22"/>
          <w:lang w:val="en-GB"/>
        </w:rPr>
        <w:t>i</w:t>
      </w:r>
      <w:r w:rsidR="006F5FD0" w:rsidRPr="00050E5E">
        <w:rPr>
          <w:sz w:val="22"/>
          <w:szCs w:val="22"/>
          <w:lang w:val="en-GB"/>
        </w:rPr>
        <w:t>nternet address:</w:t>
      </w:r>
      <w:r w:rsidR="006C0F37" w:rsidRPr="00050E5E">
        <w:rPr>
          <w:sz w:val="22"/>
          <w:szCs w:val="22"/>
          <w:lang w:val="en-GB"/>
        </w:rPr>
        <w:t xml:space="preserve"> </w:t>
      </w:r>
      <w:hyperlink r:id="rId11" w:history="1">
        <w:r w:rsidR="00940E1D" w:rsidRPr="00050E5E">
          <w:rPr>
            <w:rStyle w:val="Hyperlink"/>
            <w:sz w:val="22"/>
            <w:szCs w:val="22"/>
            <w:lang w:val="en-GB"/>
          </w:rPr>
          <w:t>http://ec.europa.eu/europeaid/prag/annexes.do?group=B</w:t>
        </w:r>
      </w:hyperlink>
      <w:r w:rsidR="00940E1D" w:rsidRPr="00050E5E">
        <w:rPr>
          <w:sz w:val="22"/>
          <w:szCs w:val="22"/>
          <w:lang w:val="en-GB"/>
        </w:rPr>
        <w:t xml:space="preserve"> </w:t>
      </w:r>
      <w:r w:rsidR="006714ED" w:rsidRPr="00050E5E">
        <w:rPr>
          <w:sz w:val="22"/>
          <w:szCs w:val="22"/>
          <w:lang w:val="en-GB"/>
        </w:rPr>
        <w:t xml:space="preserve">, under the zip file called Simplified Tender dossier. </w:t>
      </w:r>
    </w:p>
    <w:p w14:paraId="177AD528" w14:textId="77777777" w:rsidR="004D5EDB" w:rsidRPr="00050E5E" w:rsidRDefault="004D5EDB" w:rsidP="00050E5E">
      <w:pPr>
        <w:pStyle w:val="Blockquote"/>
        <w:jc w:val="both"/>
        <w:rPr>
          <w:sz w:val="22"/>
          <w:szCs w:val="22"/>
          <w:lang w:val="en-GB"/>
        </w:rPr>
      </w:pPr>
      <w:r w:rsidRPr="00050E5E">
        <w:rPr>
          <w:sz w:val="22"/>
          <w:szCs w:val="22"/>
          <w:lang w:val="en-GB"/>
        </w:rPr>
        <w:t>The tender must be accompanied by a declaration o</w:t>
      </w:r>
      <w:r w:rsidR="00980AEA" w:rsidRPr="00050E5E">
        <w:rPr>
          <w:sz w:val="22"/>
          <w:szCs w:val="22"/>
          <w:lang w:val="en-GB"/>
        </w:rPr>
        <w:t>n</w:t>
      </w:r>
      <w:r w:rsidRPr="00050E5E">
        <w:rPr>
          <w:sz w:val="22"/>
          <w:szCs w:val="22"/>
          <w:lang w:val="en-GB"/>
        </w:rPr>
        <w:t xml:space="preserve"> honour on exclusion and selection criteria using the template available from the following Internet address:</w:t>
      </w:r>
    </w:p>
    <w:p w14:paraId="5E502450" w14:textId="77777777" w:rsidR="004D5EDB" w:rsidRPr="00050E5E" w:rsidRDefault="000C00DB" w:rsidP="00050E5E">
      <w:pPr>
        <w:pStyle w:val="Blockquote"/>
        <w:jc w:val="both"/>
        <w:rPr>
          <w:sz w:val="22"/>
          <w:szCs w:val="22"/>
          <w:lang w:val="en-GB"/>
        </w:rPr>
      </w:pPr>
      <w:hyperlink r:id="rId12" w:history="1">
        <w:r w:rsidR="00881C2D" w:rsidRPr="00050E5E">
          <w:rPr>
            <w:rStyle w:val="Hyperlink"/>
            <w:sz w:val="22"/>
            <w:szCs w:val="22"/>
            <w:lang w:val="en-GB"/>
          </w:rPr>
          <w:t>http://ec.europa.eu/europeaid/prag/annexes.do?chapterTitleCode=A</w:t>
        </w:r>
      </w:hyperlink>
      <w:r w:rsidR="00881C2D" w:rsidRPr="00050E5E">
        <w:rPr>
          <w:sz w:val="22"/>
          <w:szCs w:val="22"/>
          <w:lang w:val="en-GB"/>
        </w:rPr>
        <w:t xml:space="preserve"> </w:t>
      </w:r>
    </w:p>
    <w:p w14:paraId="438E0786" w14:textId="77777777" w:rsidR="006F5FD0" w:rsidRPr="00050E5E" w:rsidRDefault="006F5FD0" w:rsidP="00050E5E">
      <w:pPr>
        <w:pStyle w:val="Blockquote"/>
        <w:jc w:val="both"/>
        <w:rPr>
          <w:sz w:val="22"/>
          <w:szCs w:val="22"/>
          <w:lang w:val="en-GB"/>
        </w:rPr>
      </w:pPr>
      <w:r w:rsidRPr="00050E5E">
        <w:rPr>
          <w:sz w:val="22"/>
          <w:szCs w:val="22"/>
          <w:lang w:val="en-GB"/>
        </w:rPr>
        <w:t>Any additional documentation (brochure, letter, etc</w:t>
      </w:r>
      <w:r w:rsidR="00235A71" w:rsidRPr="00050E5E">
        <w:rPr>
          <w:sz w:val="22"/>
          <w:szCs w:val="22"/>
          <w:lang w:val="en-GB"/>
        </w:rPr>
        <w:t>.</w:t>
      </w:r>
      <w:r w:rsidRPr="00050E5E">
        <w:rPr>
          <w:sz w:val="22"/>
          <w:szCs w:val="22"/>
          <w:lang w:val="en-GB"/>
        </w:rPr>
        <w:t xml:space="preserve">) sent with a </w:t>
      </w:r>
      <w:r w:rsidR="004D5EDB" w:rsidRPr="00050E5E">
        <w:rPr>
          <w:sz w:val="22"/>
          <w:szCs w:val="22"/>
          <w:lang w:val="en-GB"/>
        </w:rPr>
        <w:t>tender</w:t>
      </w:r>
      <w:r w:rsidRPr="00050E5E">
        <w:rPr>
          <w:sz w:val="22"/>
          <w:szCs w:val="22"/>
          <w:lang w:val="en-GB"/>
        </w:rPr>
        <w:t xml:space="preserve"> will not be taken into consideration.</w:t>
      </w:r>
    </w:p>
    <w:p w14:paraId="3AC38030" w14:textId="77777777" w:rsidR="006F5FD0" w:rsidRPr="00050E5E" w:rsidRDefault="006F5FD0" w:rsidP="00050E5E">
      <w:pPr>
        <w:ind w:left="709" w:hanging="349"/>
        <w:outlineLvl w:val="0"/>
        <w:rPr>
          <w:sz w:val="22"/>
          <w:szCs w:val="22"/>
          <w:lang w:val="en-GB"/>
        </w:rPr>
      </w:pPr>
      <w:r w:rsidRPr="00050E5E">
        <w:rPr>
          <w:rStyle w:val="Strong"/>
          <w:sz w:val="22"/>
          <w:szCs w:val="22"/>
          <w:lang w:val="en-GB"/>
        </w:rPr>
        <w:t>2</w:t>
      </w:r>
      <w:r w:rsidR="006714ED" w:rsidRPr="00050E5E">
        <w:rPr>
          <w:rStyle w:val="Strong"/>
          <w:sz w:val="22"/>
          <w:szCs w:val="22"/>
          <w:lang w:val="en-GB"/>
        </w:rPr>
        <w:t>0</w:t>
      </w:r>
      <w:r w:rsidRPr="00050E5E">
        <w:rPr>
          <w:rStyle w:val="Strong"/>
          <w:sz w:val="22"/>
          <w:szCs w:val="22"/>
          <w:lang w:val="en-GB"/>
        </w:rPr>
        <w:t xml:space="preserve">. </w:t>
      </w:r>
      <w:r w:rsidR="00584BF4" w:rsidRPr="00050E5E">
        <w:rPr>
          <w:rStyle w:val="Strong"/>
          <w:sz w:val="22"/>
          <w:szCs w:val="22"/>
          <w:lang w:val="en-GB"/>
        </w:rPr>
        <w:tab/>
      </w:r>
      <w:r w:rsidRPr="00050E5E">
        <w:rPr>
          <w:rStyle w:val="Strong"/>
          <w:sz w:val="22"/>
          <w:szCs w:val="22"/>
          <w:lang w:val="en-GB"/>
        </w:rPr>
        <w:t xml:space="preserve">How </w:t>
      </w:r>
      <w:r w:rsidR="006714ED" w:rsidRPr="00050E5E">
        <w:rPr>
          <w:rStyle w:val="Strong"/>
          <w:sz w:val="22"/>
          <w:szCs w:val="22"/>
          <w:lang w:val="en-GB"/>
        </w:rPr>
        <w:t>tenders</w:t>
      </w:r>
      <w:r w:rsidRPr="00050E5E">
        <w:rPr>
          <w:rStyle w:val="Strong"/>
          <w:sz w:val="22"/>
          <w:szCs w:val="22"/>
          <w:lang w:val="en-GB"/>
        </w:rPr>
        <w:t xml:space="preserve"> may be submitted</w:t>
      </w:r>
    </w:p>
    <w:p w14:paraId="7919897A" w14:textId="77777777" w:rsidR="006F5FD0" w:rsidRPr="00050E5E" w:rsidRDefault="006714ED" w:rsidP="00050E5E">
      <w:pPr>
        <w:pStyle w:val="Blockquote"/>
        <w:jc w:val="both"/>
        <w:rPr>
          <w:sz w:val="22"/>
          <w:szCs w:val="22"/>
          <w:lang w:val="en-GB"/>
        </w:rPr>
      </w:pPr>
      <w:r w:rsidRPr="00050E5E">
        <w:rPr>
          <w:sz w:val="22"/>
          <w:szCs w:val="22"/>
          <w:lang w:val="en-GB"/>
        </w:rPr>
        <w:t>Tenders</w:t>
      </w:r>
      <w:r w:rsidR="006F5FD0" w:rsidRPr="00050E5E">
        <w:rPr>
          <w:sz w:val="22"/>
          <w:szCs w:val="22"/>
          <w:lang w:val="en-GB"/>
        </w:rPr>
        <w:t xml:space="preserve"> must be submitted in English exclusively to the </w:t>
      </w:r>
      <w:r w:rsidR="00D33DD9" w:rsidRPr="00050E5E">
        <w:rPr>
          <w:sz w:val="22"/>
          <w:szCs w:val="22"/>
          <w:lang w:val="en-GB"/>
        </w:rPr>
        <w:t>c</w:t>
      </w:r>
      <w:r w:rsidR="006F5FD0" w:rsidRPr="00050E5E">
        <w:rPr>
          <w:sz w:val="22"/>
          <w:szCs w:val="22"/>
          <w:lang w:val="en-GB"/>
        </w:rPr>
        <w:t xml:space="preserve">ontracting </w:t>
      </w:r>
      <w:r w:rsidR="00D33DD9" w:rsidRPr="00050E5E">
        <w:rPr>
          <w:sz w:val="22"/>
          <w:szCs w:val="22"/>
          <w:lang w:val="en-GB"/>
        </w:rPr>
        <w:t>a</w:t>
      </w:r>
      <w:r w:rsidR="006F5FD0" w:rsidRPr="00050E5E">
        <w:rPr>
          <w:sz w:val="22"/>
          <w:szCs w:val="22"/>
          <w:lang w:val="en-GB"/>
        </w:rPr>
        <w:t>uthority</w:t>
      </w:r>
      <w:r w:rsidRPr="00050E5E">
        <w:rPr>
          <w:sz w:val="22"/>
          <w:szCs w:val="22"/>
          <w:lang w:val="en-GB"/>
        </w:rPr>
        <w:t xml:space="preserve">, using the means specified in point 8 of the </w:t>
      </w:r>
      <w:r w:rsidR="00881C2D" w:rsidRPr="00050E5E">
        <w:rPr>
          <w:sz w:val="22"/>
          <w:szCs w:val="22"/>
          <w:lang w:val="en-GB"/>
        </w:rPr>
        <w:t>i</w:t>
      </w:r>
      <w:r w:rsidRPr="00050E5E">
        <w:rPr>
          <w:sz w:val="22"/>
          <w:szCs w:val="22"/>
          <w:lang w:val="en-GB"/>
        </w:rPr>
        <w:t xml:space="preserve">nstructions to </w:t>
      </w:r>
      <w:r w:rsidR="00881C2D" w:rsidRPr="00050E5E">
        <w:rPr>
          <w:sz w:val="22"/>
          <w:szCs w:val="22"/>
          <w:lang w:val="en-GB"/>
        </w:rPr>
        <w:t>t</w:t>
      </w:r>
      <w:r w:rsidRPr="00050E5E">
        <w:rPr>
          <w:sz w:val="22"/>
          <w:szCs w:val="22"/>
          <w:lang w:val="en-GB"/>
        </w:rPr>
        <w:t xml:space="preserve">enderers. </w:t>
      </w:r>
      <w:r w:rsidR="009B06B5" w:rsidRPr="00050E5E">
        <w:rPr>
          <w:sz w:val="22"/>
          <w:szCs w:val="22"/>
          <w:lang w:val="en-GB"/>
        </w:rPr>
        <w:t xml:space="preserve"> </w:t>
      </w:r>
    </w:p>
    <w:p w14:paraId="63BBF791" w14:textId="77777777" w:rsidR="00EF03C9" w:rsidRPr="00050E5E" w:rsidRDefault="006714ED" w:rsidP="00050E5E">
      <w:pPr>
        <w:pStyle w:val="Blockquote"/>
        <w:jc w:val="both"/>
        <w:rPr>
          <w:rStyle w:val="Strong"/>
          <w:b w:val="0"/>
          <w:sz w:val="22"/>
          <w:szCs w:val="22"/>
          <w:lang w:val="en-GB"/>
        </w:rPr>
      </w:pPr>
      <w:r w:rsidRPr="00050E5E">
        <w:rPr>
          <w:rStyle w:val="Strong"/>
          <w:b w:val="0"/>
          <w:sz w:val="22"/>
          <w:szCs w:val="22"/>
          <w:lang w:val="en-GB"/>
        </w:rPr>
        <w:t>Tenders</w:t>
      </w:r>
      <w:r w:rsidR="006F5FD0" w:rsidRPr="00050E5E">
        <w:rPr>
          <w:rStyle w:val="Strong"/>
          <w:b w:val="0"/>
          <w:sz w:val="22"/>
          <w:szCs w:val="22"/>
          <w:lang w:val="en-GB"/>
        </w:rPr>
        <w:t xml:space="preserve"> submitted by any other means will not be considered.</w:t>
      </w:r>
    </w:p>
    <w:p w14:paraId="3D156565" w14:textId="77777777" w:rsidR="00502BBF" w:rsidRPr="00050E5E" w:rsidRDefault="00502BBF" w:rsidP="00050E5E">
      <w:pPr>
        <w:pStyle w:val="Blockquote"/>
        <w:jc w:val="both"/>
        <w:rPr>
          <w:rStyle w:val="Strong"/>
          <w:b w:val="0"/>
          <w:sz w:val="22"/>
          <w:szCs w:val="22"/>
          <w:lang w:val="en-GB"/>
        </w:rPr>
      </w:pPr>
      <w:r w:rsidRPr="00050E5E">
        <w:rPr>
          <w:sz w:val="22"/>
          <w:szCs w:val="22"/>
          <w:lang w:val="en-GB"/>
        </w:rPr>
        <w:t xml:space="preserve">By submitting a </w:t>
      </w:r>
      <w:proofErr w:type="gramStart"/>
      <w:r w:rsidRPr="00050E5E">
        <w:rPr>
          <w:sz w:val="22"/>
          <w:szCs w:val="22"/>
          <w:lang w:val="en-GB"/>
        </w:rPr>
        <w:t>tender tenderers</w:t>
      </w:r>
      <w:proofErr w:type="gramEnd"/>
      <w:r w:rsidRPr="00050E5E">
        <w:rPr>
          <w:sz w:val="22"/>
          <w:szCs w:val="22"/>
          <w:lang w:val="en-GB"/>
        </w:rPr>
        <w:t xml:space="preserve"> accept to receive notification of the outcome of the procedure by electronic means.</w:t>
      </w:r>
    </w:p>
    <w:p w14:paraId="78DFA6DC" w14:textId="77777777" w:rsidR="003262FC" w:rsidRPr="00050E5E" w:rsidRDefault="003262FC" w:rsidP="00050E5E">
      <w:pPr>
        <w:ind w:left="709" w:hanging="349"/>
        <w:outlineLvl w:val="0"/>
        <w:rPr>
          <w:b/>
          <w:sz w:val="22"/>
          <w:szCs w:val="22"/>
          <w:lang w:val="en-GB"/>
        </w:rPr>
      </w:pPr>
      <w:r w:rsidRPr="00050E5E">
        <w:rPr>
          <w:rStyle w:val="Strong"/>
          <w:sz w:val="22"/>
          <w:szCs w:val="22"/>
          <w:lang w:val="en-GB"/>
        </w:rPr>
        <w:t>2</w:t>
      </w:r>
      <w:r w:rsidR="006714ED" w:rsidRPr="00050E5E">
        <w:rPr>
          <w:rStyle w:val="Strong"/>
          <w:sz w:val="22"/>
          <w:szCs w:val="22"/>
          <w:lang w:val="en-GB"/>
        </w:rPr>
        <w:t>1</w:t>
      </w:r>
      <w:r w:rsidRPr="00050E5E">
        <w:rPr>
          <w:rStyle w:val="Strong"/>
          <w:sz w:val="22"/>
          <w:szCs w:val="22"/>
          <w:lang w:val="en-GB"/>
        </w:rPr>
        <w:t>.</w:t>
      </w:r>
      <w:r w:rsidR="00584BF4" w:rsidRPr="00050E5E">
        <w:rPr>
          <w:rStyle w:val="Strong"/>
          <w:sz w:val="22"/>
          <w:szCs w:val="22"/>
          <w:lang w:val="en-GB"/>
        </w:rPr>
        <w:tab/>
      </w:r>
      <w:r w:rsidRPr="00050E5E">
        <w:rPr>
          <w:rStyle w:val="Strong"/>
          <w:sz w:val="22"/>
          <w:szCs w:val="22"/>
          <w:lang w:val="en-GB"/>
        </w:rPr>
        <w:t xml:space="preserve">Alteration or withdrawal of </w:t>
      </w:r>
      <w:r w:rsidR="006714ED" w:rsidRPr="00050E5E">
        <w:rPr>
          <w:rStyle w:val="Strong"/>
          <w:sz w:val="22"/>
          <w:szCs w:val="22"/>
          <w:lang w:val="en-GB"/>
        </w:rPr>
        <w:t>tenders</w:t>
      </w:r>
    </w:p>
    <w:p w14:paraId="37113797" w14:textId="77777777" w:rsidR="003262FC" w:rsidRPr="00050E5E" w:rsidRDefault="006714ED" w:rsidP="00050E5E">
      <w:pPr>
        <w:pStyle w:val="Blockquote"/>
        <w:jc w:val="both"/>
        <w:rPr>
          <w:sz w:val="22"/>
          <w:szCs w:val="22"/>
          <w:lang w:val="en-GB"/>
        </w:rPr>
      </w:pPr>
      <w:r w:rsidRPr="00050E5E">
        <w:rPr>
          <w:sz w:val="22"/>
          <w:szCs w:val="22"/>
          <w:lang w:val="en-GB"/>
        </w:rPr>
        <w:t>Tenderers</w:t>
      </w:r>
      <w:r w:rsidR="003262FC" w:rsidRPr="00050E5E">
        <w:rPr>
          <w:sz w:val="22"/>
          <w:szCs w:val="22"/>
          <w:lang w:val="en-GB"/>
        </w:rPr>
        <w:t xml:space="preserve"> may alter or withdraw their </w:t>
      </w:r>
      <w:r w:rsidRPr="00050E5E">
        <w:rPr>
          <w:sz w:val="22"/>
          <w:szCs w:val="22"/>
          <w:lang w:val="en-GB"/>
        </w:rPr>
        <w:t>tenders</w:t>
      </w:r>
      <w:r w:rsidR="003262FC" w:rsidRPr="00050E5E">
        <w:rPr>
          <w:sz w:val="22"/>
          <w:szCs w:val="22"/>
          <w:lang w:val="en-GB"/>
        </w:rPr>
        <w:t xml:space="preserve"> by written notification prior to the deadline for submission of </w:t>
      </w:r>
      <w:r w:rsidRPr="00050E5E">
        <w:rPr>
          <w:sz w:val="22"/>
          <w:szCs w:val="22"/>
          <w:lang w:val="en-GB"/>
        </w:rPr>
        <w:t>tenders</w:t>
      </w:r>
      <w:r w:rsidR="003262FC" w:rsidRPr="00050E5E">
        <w:rPr>
          <w:sz w:val="22"/>
          <w:szCs w:val="22"/>
          <w:lang w:val="en-GB"/>
        </w:rPr>
        <w:t xml:space="preserve">. No </w:t>
      </w:r>
      <w:r w:rsidRPr="00050E5E">
        <w:rPr>
          <w:sz w:val="22"/>
          <w:szCs w:val="22"/>
          <w:lang w:val="en-GB"/>
        </w:rPr>
        <w:t>tender</w:t>
      </w:r>
      <w:r w:rsidR="003262FC" w:rsidRPr="00050E5E">
        <w:rPr>
          <w:sz w:val="22"/>
          <w:szCs w:val="22"/>
          <w:lang w:val="en-GB"/>
        </w:rPr>
        <w:t xml:space="preserve"> may be altered after this deadline.</w:t>
      </w:r>
    </w:p>
    <w:p w14:paraId="2A8E6476" w14:textId="1790CEA6" w:rsidR="003262FC" w:rsidRPr="00050E5E" w:rsidRDefault="003262FC" w:rsidP="00050E5E">
      <w:pPr>
        <w:pStyle w:val="Blockquote"/>
        <w:jc w:val="both"/>
        <w:rPr>
          <w:sz w:val="22"/>
          <w:szCs w:val="22"/>
          <w:lang w:val="en-GB"/>
        </w:rPr>
      </w:pPr>
      <w:r w:rsidRPr="00050E5E">
        <w:rPr>
          <w:sz w:val="22"/>
          <w:szCs w:val="22"/>
          <w:lang w:val="en-GB"/>
        </w:rPr>
        <w:t xml:space="preserve">Any such notification of alteration or withdrawal shall be prepared and submitted in accordance with </w:t>
      </w:r>
      <w:r w:rsidR="006714ED" w:rsidRPr="00050E5E">
        <w:rPr>
          <w:sz w:val="22"/>
          <w:szCs w:val="22"/>
          <w:lang w:val="en-GB"/>
        </w:rPr>
        <w:t xml:space="preserve">point </w:t>
      </w:r>
      <w:r w:rsidR="000B693E" w:rsidRPr="00050E5E">
        <w:rPr>
          <w:sz w:val="22"/>
          <w:szCs w:val="22"/>
          <w:lang w:val="en-GB"/>
        </w:rPr>
        <w:t>9</w:t>
      </w:r>
      <w:r w:rsidR="006714ED" w:rsidRPr="00050E5E">
        <w:rPr>
          <w:sz w:val="22"/>
          <w:szCs w:val="22"/>
          <w:lang w:val="en-GB"/>
        </w:rPr>
        <w:t xml:space="preserve"> of the </w:t>
      </w:r>
      <w:r w:rsidR="00881C2D" w:rsidRPr="00050E5E">
        <w:rPr>
          <w:sz w:val="22"/>
          <w:szCs w:val="22"/>
          <w:lang w:val="en-GB"/>
        </w:rPr>
        <w:t>i</w:t>
      </w:r>
      <w:r w:rsidR="006714ED" w:rsidRPr="00050E5E">
        <w:rPr>
          <w:sz w:val="22"/>
          <w:szCs w:val="22"/>
          <w:lang w:val="en-GB"/>
        </w:rPr>
        <w:t xml:space="preserve">nstructions to </w:t>
      </w:r>
      <w:r w:rsidR="00881C2D" w:rsidRPr="00050E5E">
        <w:rPr>
          <w:sz w:val="22"/>
          <w:szCs w:val="22"/>
          <w:lang w:val="en-GB"/>
        </w:rPr>
        <w:t>t</w:t>
      </w:r>
      <w:r w:rsidR="006714ED" w:rsidRPr="00050E5E">
        <w:rPr>
          <w:sz w:val="22"/>
          <w:szCs w:val="22"/>
          <w:lang w:val="en-GB"/>
        </w:rPr>
        <w:t>enderers</w:t>
      </w:r>
      <w:r w:rsidRPr="00050E5E">
        <w:rPr>
          <w:sz w:val="22"/>
          <w:szCs w:val="22"/>
          <w:lang w:val="en-GB"/>
        </w:rPr>
        <w:t xml:space="preserve">. </w:t>
      </w:r>
    </w:p>
    <w:p w14:paraId="33B0DD15" w14:textId="77777777" w:rsidR="006F5FD0" w:rsidRPr="00050E5E" w:rsidRDefault="003262FC" w:rsidP="00050E5E">
      <w:pPr>
        <w:keepNext/>
        <w:ind w:left="709" w:hanging="352"/>
        <w:outlineLvl w:val="0"/>
        <w:rPr>
          <w:sz w:val="22"/>
          <w:szCs w:val="22"/>
          <w:lang w:val="en-GB"/>
        </w:rPr>
      </w:pPr>
      <w:r w:rsidRPr="00050E5E">
        <w:rPr>
          <w:rStyle w:val="Strong"/>
          <w:sz w:val="22"/>
          <w:szCs w:val="22"/>
          <w:lang w:val="en-GB"/>
        </w:rPr>
        <w:lastRenderedPageBreak/>
        <w:t>2</w:t>
      </w:r>
      <w:r w:rsidR="006714ED" w:rsidRPr="00050E5E">
        <w:rPr>
          <w:rStyle w:val="Strong"/>
          <w:sz w:val="22"/>
          <w:szCs w:val="22"/>
          <w:lang w:val="en-GB"/>
        </w:rPr>
        <w:t>2</w:t>
      </w:r>
      <w:r w:rsidR="006F5FD0" w:rsidRPr="00050E5E">
        <w:rPr>
          <w:rStyle w:val="Strong"/>
          <w:sz w:val="22"/>
          <w:szCs w:val="22"/>
          <w:lang w:val="en-GB"/>
        </w:rPr>
        <w:t xml:space="preserve">. </w:t>
      </w:r>
      <w:r w:rsidR="00584BF4" w:rsidRPr="00050E5E">
        <w:rPr>
          <w:rStyle w:val="Strong"/>
          <w:sz w:val="22"/>
          <w:szCs w:val="22"/>
          <w:lang w:val="en-GB"/>
        </w:rPr>
        <w:tab/>
      </w:r>
      <w:r w:rsidR="006F5FD0" w:rsidRPr="00050E5E">
        <w:rPr>
          <w:rStyle w:val="Strong"/>
          <w:sz w:val="22"/>
          <w:szCs w:val="22"/>
          <w:lang w:val="en-GB"/>
        </w:rPr>
        <w:t>Operational language</w:t>
      </w:r>
    </w:p>
    <w:p w14:paraId="231E3CC8" w14:textId="77777777" w:rsidR="006F5FD0" w:rsidRPr="00050E5E" w:rsidRDefault="006F5FD0" w:rsidP="00050E5E">
      <w:pPr>
        <w:pStyle w:val="Blockquote"/>
        <w:jc w:val="both"/>
        <w:rPr>
          <w:i/>
          <w:sz w:val="22"/>
          <w:szCs w:val="22"/>
          <w:lang w:val="en-GB"/>
        </w:rPr>
      </w:pPr>
      <w:r w:rsidRPr="00050E5E">
        <w:rPr>
          <w:rStyle w:val="Emphasis"/>
          <w:i w:val="0"/>
          <w:sz w:val="22"/>
          <w:szCs w:val="22"/>
          <w:lang w:val="en-GB"/>
        </w:rPr>
        <w:t xml:space="preserve">All written communications for this tender procedure and contract must be in English.  </w:t>
      </w:r>
    </w:p>
    <w:p w14:paraId="38DC66B2" w14:textId="32D12E6C" w:rsidR="00E9047D" w:rsidRPr="00050E5E" w:rsidRDefault="00326B16" w:rsidP="00050E5E">
      <w:pPr>
        <w:pStyle w:val="Blockquote"/>
        <w:jc w:val="both"/>
        <w:rPr>
          <w:b/>
          <w:sz w:val="22"/>
          <w:szCs w:val="22"/>
          <w:lang w:val="en-GB"/>
        </w:rPr>
      </w:pPr>
      <w:r w:rsidRPr="00050E5E">
        <w:rPr>
          <w:b/>
          <w:sz w:val="22"/>
          <w:szCs w:val="22"/>
          <w:lang w:val="en-GB"/>
        </w:rPr>
        <w:t>23</w:t>
      </w:r>
      <w:r w:rsidR="008272C0" w:rsidRPr="00050E5E">
        <w:rPr>
          <w:b/>
          <w:sz w:val="22"/>
          <w:szCs w:val="22"/>
          <w:lang w:val="en-GB"/>
        </w:rPr>
        <w:t xml:space="preserve">. </w:t>
      </w:r>
      <w:r w:rsidR="00E9047D" w:rsidRPr="00050E5E">
        <w:rPr>
          <w:b/>
          <w:sz w:val="22"/>
          <w:szCs w:val="22"/>
          <w:lang w:val="en-GB"/>
        </w:rPr>
        <w:t>Additional information</w:t>
      </w:r>
    </w:p>
    <w:p w14:paraId="7A5C8404" w14:textId="24419D5D" w:rsidR="00AF412E" w:rsidRDefault="00AF412E" w:rsidP="00050E5E">
      <w:pPr>
        <w:widowControl/>
        <w:snapToGrid w:val="0"/>
        <w:spacing w:after="0"/>
        <w:ind w:left="360" w:right="360"/>
        <w:jc w:val="both"/>
        <w:rPr>
          <w:lang w:val="en-GB"/>
        </w:rPr>
      </w:pPr>
      <w:r w:rsidRPr="00050E5E">
        <w:rPr>
          <w:lang w:val="en-GB"/>
        </w:rPr>
        <w:t xml:space="preserve">Financial data to be provided by the candidate in the standard application </w:t>
      </w:r>
      <w:proofErr w:type="gramStart"/>
      <w:r w:rsidRPr="00050E5E">
        <w:rPr>
          <w:lang w:val="en-GB"/>
        </w:rPr>
        <w:t>form  must</w:t>
      </w:r>
      <w:proofErr w:type="gramEnd"/>
      <w:r w:rsidRPr="00050E5E">
        <w:rPr>
          <w:lang w:val="en-GB"/>
        </w:rPr>
        <w:t xml:space="preserve"> be expressed in EUR. If applicable, where a candidate refers to amounts originally expressed in a different currency, the conversion to EUR</w:t>
      </w:r>
      <w:r w:rsidR="00AD5A78" w:rsidRPr="00050E5E">
        <w:rPr>
          <w:lang w:val="en-GB"/>
        </w:rPr>
        <w:t xml:space="preserve"> </w:t>
      </w:r>
      <w:r w:rsidRPr="00050E5E">
        <w:rPr>
          <w:lang w:val="en-GB"/>
        </w:rPr>
        <w:t xml:space="preserve">shall be made in accordance with the </w:t>
      </w:r>
      <w:proofErr w:type="spellStart"/>
      <w:r w:rsidRPr="00050E5E">
        <w:rPr>
          <w:lang w:val="en-GB"/>
        </w:rPr>
        <w:t>InforEuro</w:t>
      </w:r>
      <w:proofErr w:type="spellEnd"/>
      <w:r w:rsidRPr="00050E5E">
        <w:rPr>
          <w:lang w:val="en-GB"/>
        </w:rPr>
        <w:t xml:space="preserve"> exchange rate of </w:t>
      </w:r>
      <w:r w:rsidR="0018636E" w:rsidRPr="00050E5E">
        <w:rPr>
          <w:lang w:val="en-GB"/>
        </w:rPr>
        <w:t>March 2022</w:t>
      </w:r>
      <w:r w:rsidRPr="00050E5E">
        <w:rPr>
          <w:lang w:val="en-GB"/>
        </w:rPr>
        <w:t xml:space="preserve">, which can be found at the following address: </w:t>
      </w:r>
      <w:hyperlink r:id="rId13" w:history="1">
        <w:r w:rsidRPr="00050E5E">
          <w:rPr>
            <w:rStyle w:val="Hyperlink"/>
            <w:lang w:val="en-GB"/>
          </w:rPr>
          <w:t>http://ec.europa.eu/budget/graphs/inforeuro.html</w:t>
        </w:r>
      </w:hyperlink>
      <w:r w:rsidRPr="00050E5E">
        <w:rPr>
          <w:lang w:val="en-GB"/>
        </w:rPr>
        <w:t>.</w:t>
      </w:r>
    </w:p>
    <w:p w14:paraId="2AC4BD41" w14:textId="77777777" w:rsidR="007F6AA9" w:rsidRPr="00F9055E" w:rsidRDefault="007F6AA9" w:rsidP="00050E5E">
      <w:pPr>
        <w:pStyle w:val="Blockquote"/>
        <w:ind w:left="0"/>
        <w:jc w:val="both"/>
        <w:rPr>
          <w:sz w:val="22"/>
          <w:szCs w:val="22"/>
          <w:lang w:val="en-GB"/>
        </w:rPr>
      </w:pPr>
    </w:p>
    <w:sectPr w:rsidR="007F6AA9" w:rsidRPr="00F9055E" w:rsidSect="00E147D3">
      <w:headerReference w:type="default" r:id="rId14"/>
      <w:footerReference w:type="default" r:id="rId15"/>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6F8B" w14:textId="77777777" w:rsidR="000C00DB" w:rsidRDefault="000C00DB">
      <w:r>
        <w:separator/>
      </w:r>
    </w:p>
  </w:endnote>
  <w:endnote w:type="continuationSeparator" w:id="0">
    <w:p w14:paraId="4D9D0468" w14:textId="77777777" w:rsidR="000C00DB" w:rsidRDefault="000C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BA12" w14:textId="10A31A07" w:rsidR="00EF0A8C" w:rsidRPr="00B33EE6" w:rsidRDefault="00731A9A" w:rsidP="00F9055E">
    <w:pPr>
      <w:pStyle w:val="Footer"/>
      <w:tabs>
        <w:tab w:val="clear" w:pos="4320"/>
        <w:tab w:val="clear" w:pos="8640"/>
        <w:tab w:val="right" w:pos="9214"/>
      </w:tabs>
      <w:spacing w:before="120" w:after="0"/>
      <w:rPr>
        <w:b/>
        <w:sz w:val="20"/>
        <w:lang w:val="en-GB"/>
      </w:rPr>
    </w:pPr>
    <w:r>
      <w:rPr>
        <w:b/>
        <w:sz w:val="20"/>
      </w:rPr>
      <w:t>Dece</w:t>
    </w:r>
    <w:r w:rsidR="0038795F">
      <w:rPr>
        <w:b/>
        <w:sz w:val="20"/>
      </w:rPr>
      <w:t>mber</w:t>
    </w:r>
    <w:r w:rsidR="003670BA" w:rsidRPr="003670BA">
      <w:rPr>
        <w:b/>
        <w:sz w:val="20"/>
      </w:rPr>
      <w:t xml:space="preserve"> 202</w:t>
    </w:r>
    <w:r w:rsidR="0038795F">
      <w:rPr>
        <w:b/>
        <w:sz w:val="20"/>
      </w:rPr>
      <w:t>1</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12</w:t>
    </w:r>
    <w:r w:rsidR="00B33EE6" w:rsidRPr="00B33EE6">
      <w:rPr>
        <w:rStyle w:val="PageNumber"/>
        <w:sz w:val="18"/>
        <w:szCs w:val="18"/>
        <w:lang w:val="en-GB"/>
      </w:rPr>
      <w:fldChar w:fldCharType="end"/>
    </w:r>
  </w:p>
  <w:p w14:paraId="77551F46"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F73D" w14:textId="77777777" w:rsidR="000C00DB" w:rsidRDefault="000C00DB">
      <w:r>
        <w:separator/>
      </w:r>
    </w:p>
  </w:footnote>
  <w:footnote w:type="continuationSeparator" w:id="0">
    <w:p w14:paraId="4940685E" w14:textId="77777777" w:rsidR="000C00DB" w:rsidRDefault="000C00DB">
      <w:r>
        <w:continuationSeparator/>
      </w:r>
    </w:p>
  </w:footnote>
  <w:footnote w:id="1">
    <w:p w14:paraId="6271804F" w14:textId="77777777" w:rsidR="00B9793F" w:rsidRPr="001109B5" w:rsidRDefault="00B9793F" w:rsidP="006E1BD0">
      <w:pPr>
        <w:pStyle w:val="FootnoteText"/>
        <w:spacing w:before="0" w:after="0"/>
      </w:pPr>
      <w:r>
        <w:rPr>
          <w:rStyle w:val="FootnoteReference"/>
        </w:rPr>
        <w:footnoteRef/>
      </w:r>
      <w:r w:rsidRPr="00E67DA7">
        <w:rPr>
          <w:lang w:val="en-GB"/>
        </w:rPr>
        <w:t xml:space="preserve"> Regulation (EU) No 230/2014 of the European Parliament </w:t>
      </w:r>
      <w:r w:rsidRPr="00E67DA7">
        <w:rPr>
          <w:rStyle w:val="highlight"/>
          <w:lang w:val="en-GB"/>
        </w:rPr>
        <w:t>and</w:t>
      </w:r>
      <w:r w:rsidRPr="00E67DA7">
        <w:rPr>
          <w:lang w:val="en-GB"/>
        </w:rPr>
        <w:t xml:space="preserve"> of the Council of 11 March 2014 establishing an </w:t>
      </w:r>
      <w:r w:rsidRPr="00E67DA7">
        <w:rPr>
          <w:rStyle w:val="highlight"/>
          <w:lang w:val="en-GB"/>
        </w:rPr>
        <w:t>instrument</w:t>
      </w:r>
      <w:r w:rsidRPr="00E67DA7">
        <w:rPr>
          <w:lang w:val="en-GB"/>
        </w:rPr>
        <w:t xml:space="preserve"> </w:t>
      </w:r>
      <w:r w:rsidRPr="00E67DA7">
        <w:rPr>
          <w:rStyle w:val="highlight"/>
          <w:lang w:val="en-GB"/>
        </w:rPr>
        <w:t>contributing</w:t>
      </w:r>
      <w:r w:rsidRPr="00E67DA7">
        <w:rPr>
          <w:lang w:val="en-GB"/>
        </w:rPr>
        <w:t xml:space="preserve"> </w:t>
      </w:r>
      <w:r w:rsidRPr="00E67DA7">
        <w:rPr>
          <w:rStyle w:val="highlight"/>
          <w:lang w:val="en-GB"/>
        </w:rPr>
        <w:t>to</w:t>
      </w:r>
      <w:r w:rsidRPr="00E67DA7">
        <w:rPr>
          <w:lang w:val="en-GB"/>
        </w:rPr>
        <w:t xml:space="preserve"> </w:t>
      </w:r>
      <w:r w:rsidRPr="00E67DA7">
        <w:rPr>
          <w:rStyle w:val="highlight"/>
          <w:lang w:val="en-GB"/>
        </w:rPr>
        <w:t>stability</w:t>
      </w:r>
      <w:r w:rsidRPr="00E67DA7">
        <w:rPr>
          <w:lang w:val="en-GB"/>
        </w:rPr>
        <w:t xml:space="preserve"> </w:t>
      </w:r>
      <w:r w:rsidRPr="00E67DA7">
        <w:rPr>
          <w:rStyle w:val="highlight"/>
          <w:lang w:val="en-GB"/>
        </w:rPr>
        <w:t>and</w:t>
      </w:r>
      <w:r w:rsidRPr="00E67DA7">
        <w:rPr>
          <w:lang w:val="en-GB"/>
        </w:rPr>
        <w:t xml:space="preserve"> </w:t>
      </w:r>
      <w:r w:rsidRPr="00E67DA7">
        <w:rPr>
          <w:rStyle w:val="highlight"/>
          <w:lang w:val="en-GB"/>
        </w:rPr>
        <w:t>peace (</w:t>
      </w:r>
      <w:r w:rsidRPr="00E67DA7">
        <w:rPr>
          <w:iCs/>
          <w:lang w:val="en-GB"/>
        </w:rPr>
        <w:t>OJ L 77, 15.3.2014, p. 1).</w:t>
      </w:r>
    </w:p>
  </w:footnote>
  <w:footnote w:id="2">
    <w:p w14:paraId="37543B41" w14:textId="77777777" w:rsidR="00B9793F" w:rsidRPr="001109B5" w:rsidRDefault="00B9793F" w:rsidP="006E1BD0">
      <w:pPr>
        <w:pStyle w:val="FootnoteText"/>
        <w:spacing w:before="0" w:after="0"/>
      </w:pPr>
      <w:r w:rsidRPr="00CC0B7A">
        <w:rPr>
          <w:rStyle w:val="FootnoteReference"/>
        </w:rPr>
        <w:footnoteRef/>
      </w:r>
      <w:r w:rsidRPr="006C1625">
        <w:rPr>
          <w:rStyle w:val="FootnoteReference"/>
          <w:lang w:val="en-GB"/>
        </w:rPr>
        <w:t xml:space="preserve"> </w:t>
      </w:r>
      <w:r w:rsidRPr="006C1625">
        <w:rPr>
          <w:rStyle w:val="FootnoteTextChar"/>
          <w:lang w:val="en-GB"/>
        </w:rPr>
        <w:t>Article 11 CIR.</w:t>
      </w:r>
      <w:r w:rsidRPr="006C1625">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2B94" w14:textId="1C3631EF" w:rsidR="0038795F" w:rsidRDefault="007E6924">
    <w:pPr>
      <w:pStyle w:val="Header"/>
    </w:pPr>
    <w:r>
      <w:rPr>
        <w:noProof/>
      </w:rPr>
      <mc:AlternateContent>
        <mc:Choice Requires="wps">
          <w:drawing>
            <wp:anchor distT="45720" distB="45720" distL="114300" distR="114300" simplePos="0" relativeHeight="251660288" behindDoc="0" locked="0" layoutInCell="1" allowOverlap="1" wp14:anchorId="7AD914A3" wp14:editId="370D81B8">
              <wp:simplePos x="0" y="0"/>
              <wp:positionH relativeFrom="column">
                <wp:posOffset>3869690</wp:posOffset>
              </wp:positionH>
              <wp:positionV relativeFrom="paragraph">
                <wp:posOffset>-433705</wp:posOffset>
              </wp:positionV>
              <wp:extent cx="2788920" cy="556260"/>
              <wp:effectExtent l="0" t="0" r="0" b="0"/>
              <wp:wrapThrough wrapText="bothSides">
                <wp:wrapPolygon edited="0">
                  <wp:start x="295" y="0"/>
                  <wp:lineTo x="295" y="20712"/>
                  <wp:lineTo x="21098" y="20712"/>
                  <wp:lineTo x="21098" y="0"/>
                  <wp:lineTo x="295"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56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71772F" w14:textId="70E733B9" w:rsidR="007E6924" w:rsidRPr="009606B5" w:rsidRDefault="007E6924" w:rsidP="007E6924">
                          <w:pPr>
                            <w:rPr>
                              <w:rFonts w:ascii="Arial" w:hAnsi="Arial" w:cs="Arial"/>
                              <w:color w:val="002060"/>
                              <w:sz w:val="20"/>
                            </w:rPr>
                          </w:pPr>
                          <w:r w:rsidRPr="009606B5">
                            <w:rPr>
                              <w:rFonts w:ascii="Arial" w:hAnsi="Arial" w:cs="Arial"/>
                              <w:color w:val="002060"/>
                              <w:sz w:val="20"/>
                            </w:rPr>
                            <w:t>Project co-funded by the European Union and national funds of the participating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914A3" id="_x0000_t202" coordsize="21600,21600" o:spt="202" path="m,l,21600r21600,l21600,xe">
              <v:stroke joinstyle="miter"/>
              <v:path gradientshapeok="t" o:connecttype="rect"/>
            </v:shapetype>
            <v:shape id="Text Box 2" o:spid="_x0000_s1026" type="#_x0000_t202" style="position:absolute;margin-left:304.7pt;margin-top:-34.15pt;width:219.6pt;height:4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" filled="f" stroked="f">
              <v:textbox>
                <w:txbxContent>
                  <w:p w14:paraId="1971772F" w14:textId="70E733B9" w:rsidR="007E6924" w:rsidRPr="009606B5" w:rsidRDefault="007E6924" w:rsidP="007E6924">
                    <w:pPr>
                      <w:rPr>
                        <w:rFonts w:ascii="Arial" w:hAnsi="Arial" w:cs="Arial"/>
                        <w:color w:val="002060"/>
                        <w:sz w:val="20"/>
                      </w:rPr>
                    </w:pPr>
                    <w:r w:rsidRPr="009606B5">
                      <w:rPr>
                        <w:rFonts w:ascii="Arial" w:hAnsi="Arial" w:cs="Arial"/>
                        <w:color w:val="002060"/>
                        <w:sz w:val="20"/>
                      </w:rPr>
                      <w:t>Project co-funded by the European Union and national funds of the participating countries</w:t>
                    </w:r>
                  </w:p>
                </w:txbxContent>
              </v:textbox>
              <w10:wrap type="through"/>
            </v:shape>
          </w:pict>
        </mc:Fallback>
      </mc:AlternateContent>
    </w:r>
    <w:r>
      <w:rPr>
        <w:noProof/>
      </w:rPr>
      <w:drawing>
        <wp:anchor distT="0" distB="0" distL="114300" distR="114300" simplePos="0" relativeHeight="251659264" behindDoc="0" locked="0" layoutInCell="1" allowOverlap="1" wp14:anchorId="780AF864" wp14:editId="6A47B880">
          <wp:simplePos x="0" y="0"/>
          <wp:positionH relativeFrom="column">
            <wp:posOffset>-523875</wp:posOffset>
          </wp:positionH>
          <wp:positionV relativeFrom="paragraph">
            <wp:posOffset>-422275</wp:posOffset>
          </wp:positionV>
          <wp:extent cx="3025140" cy="582930"/>
          <wp:effectExtent l="0" t="0" r="3810" b="7620"/>
          <wp:wrapThrough wrapText="bothSides">
            <wp:wrapPolygon edited="0">
              <wp:start x="0" y="0"/>
              <wp:lineTo x="0" y="21176"/>
              <wp:lineTo x="21491" y="21176"/>
              <wp:lineTo x="21491"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4"/>
  </w:num>
  <w:num w:numId="41">
    <w:abstractNumId w:val="40"/>
  </w:num>
  <w:num w:numId="42">
    <w:abstractNumId w:val="42"/>
  </w:num>
  <w:num w:numId="43">
    <w:abstractNumId w:val="3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3653F"/>
    <w:rsid w:val="00050E5E"/>
    <w:rsid w:val="00051D1D"/>
    <w:rsid w:val="00060001"/>
    <w:rsid w:val="00063FB5"/>
    <w:rsid w:val="00080900"/>
    <w:rsid w:val="00087A72"/>
    <w:rsid w:val="00095030"/>
    <w:rsid w:val="000A0D57"/>
    <w:rsid w:val="000A3758"/>
    <w:rsid w:val="000B5C36"/>
    <w:rsid w:val="000B693E"/>
    <w:rsid w:val="000B7C91"/>
    <w:rsid w:val="000C00DB"/>
    <w:rsid w:val="000C1101"/>
    <w:rsid w:val="000C1522"/>
    <w:rsid w:val="000D1732"/>
    <w:rsid w:val="000D3847"/>
    <w:rsid w:val="000D3EBF"/>
    <w:rsid w:val="000E4709"/>
    <w:rsid w:val="000F0F6C"/>
    <w:rsid w:val="000F1340"/>
    <w:rsid w:val="000F2AF8"/>
    <w:rsid w:val="000F5DEF"/>
    <w:rsid w:val="0010162C"/>
    <w:rsid w:val="00105302"/>
    <w:rsid w:val="0013314C"/>
    <w:rsid w:val="0014405E"/>
    <w:rsid w:val="00145CFA"/>
    <w:rsid w:val="00150687"/>
    <w:rsid w:val="001661F7"/>
    <w:rsid w:val="00171F2E"/>
    <w:rsid w:val="00180D47"/>
    <w:rsid w:val="0018636E"/>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5403"/>
    <w:rsid w:val="00216179"/>
    <w:rsid w:val="00226829"/>
    <w:rsid w:val="00233B9D"/>
    <w:rsid w:val="00233DDA"/>
    <w:rsid w:val="00235A71"/>
    <w:rsid w:val="002413EA"/>
    <w:rsid w:val="00243849"/>
    <w:rsid w:val="002575AA"/>
    <w:rsid w:val="00266EB9"/>
    <w:rsid w:val="002753AD"/>
    <w:rsid w:val="002854C8"/>
    <w:rsid w:val="002A748D"/>
    <w:rsid w:val="002B2145"/>
    <w:rsid w:val="002D266E"/>
    <w:rsid w:val="002D4121"/>
    <w:rsid w:val="002E1B83"/>
    <w:rsid w:val="002E2635"/>
    <w:rsid w:val="002E7D33"/>
    <w:rsid w:val="002F4E69"/>
    <w:rsid w:val="003045C3"/>
    <w:rsid w:val="00313F6B"/>
    <w:rsid w:val="00322D52"/>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717BC"/>
    <w:rsid w:val="0038315A"/>
    <w:rsid w:val="003861D9"/>
    <w:rsid w:val="0038633F"/>
    <w:rsid w:val="00386E96"/>
    <w:rsid w:val="0038795F"/>
    <w:rsid w:val="0038796E"/>
    <w:rsid w:val="0039147E"/>
    <w:rsid w:val="0039347D"/>
    <w:rsid w:val="003947E7"/>
    <w:rsid w:val="00397073"/>
    <w:rsid w:val="003A3D83"/>
    <w:rsid w:val="003A4357"/>
    <w:rsid w:val="003A798A"/>
    <w:rsid w:val="003B1B35"/>
    <w:rsid w:val="003C1515"/>
    <w:rsid w:val="003D16FB"/>
    <w:rsid w:val="003D6CAD"/>
    <w:rsid w:val="003E782D"/>
    <w:rsid w:val="00400098"/>
    <w:rsid w:val="0040360C"/>
    <w:rsid w:val="00404FA6"/>
    <w:rsid w:val="004108A4"/>
    <w:rsid w:val="00417CD3"/>
    <w:rsid w:val="00424124"/>
    <w:rsid w:val="004348CA"/>
    <w:rsid w:val="0043533D"/>
    <w:rsid w:val="00452ED8"/>
    <w:rsid w:val="0045494F"/>
    <w:rsid w:val="004567DF"/>
    <w:rsid w:val="00472630"/>
    <w:rsid w:val="00473883"/>
    <w:rsid w:val="00473A87"/>
    <w:rsid w:val="00476C0D"/>
    <w:rsid w:val="00476D80"/>
    <w:rsid w:val="00476EEE"/>
    <w:rsid w:val="00480B5C"/>
    <w:rsid w:val="00482E0D"/>
    <w:rsid w:val="00483EC9"/>
    <w:rsid w:val="004850B4"/>
    <w:rsid w:val="004901C2"/>
    <w:rsid w:val="004916FF"/>
    <w:rsid w:val="004957E5"/>
    <w:rsid w:val="004C21CC"/>
    <w:rsid w:val="004C49B2"/>
    <w:rsid w:val="004D031B"/>
    <w:rsid w:val="004D5EDB"/>
    <w:rsid w:val="004E083B"/>
    <w:rsid w:val="004E1482"/>
    <w:rsid w:val="004E69A4"/>
    <w:rsid w:val="004E6C3D"/>
    <w:rsid w:val="004F00C7"/>
    <w:rsid w:val="004F0E50"/>
    <w:rsid w:val="004F34C4"/>
    <w:rsid w:val="004F3BBC"/>
    <w:rsid w:val="004F4A09"/>
    <w:rsid w:val="004F7E9D"/>
    <w:rsid w:val="00500794"/>
    <w:rsid w:val="00502217"/>
    <w:rsid w:val="00502BBF"/>
    <w:rsid w:val="00503CD9"/>
    <w:rsid w:val="005046CD"/>
    <w:rsid w:val="00505437"/>
    <w:rsid w:val="005070DB"/>
    <w:rsid w:val="00513F0F"/>
    <w:rsid w:val="00517ADA"/>
    <w:rsid w:val="00523228"/>
    <w:rsid w:val="0054183B"/>
    <w:rsid w:val="005418FD"/>
    <w:rsid w:val="005462B4"/>
    <w:rsid w:val="00551288"/>
    <w:rsid w:val="00551429"/>
    <w:rsid w:val="00553C32"/>
    <w:rsid w:val="005572F7"/>
    <w:rsid w:val="0056183E"/>
    <w:rsid w:val="005639EC"/>
    <w:rsid w:val="00564558"/>
    <w:rsid w:val="00565A69"/>
    <w:rsid w:val="00571687"/>
    <w:rsid w:val="00572F15"/>
    <w:rsid w:val="00573F7A"/>
    <w:rsid w:val="00582326"/>
    <w:rsid w:val="00584BF4"/>
    <w:rsid w:val="00584D96"/>
    <w:rsid w:val="00590ADB"/>
    <w:rsid w:val="005A21DC"/>
    <w:rsid w:val="005A7A4C"/>
    <w:rsid w:val="005B35A2"/>
    <w:rsid w:val="005B4F80"/>
    <w:rsid w:val="005B5E3C"/>
    <w:rsid w:val="005C368F"/>
    <w:rsid w:val="005C71EF"/>
    <w:rsid w:val="005D41DD"/>
    <w:rsid w:val="005E66DE"/>
    <w:rsid w:val="005F776D"/>
    <w:rsid w:val="0060359F"/>
    <w:rsid w:val="0061336A"/>
    <w:rsid w:val="006309DE"/>
    <w:rsid w:val="00632BDC"/>
    <w:rsid w:val="0064390B"/>
    <w:rsid w:val="00663C6D"/>
    <w:rsid w:val="006714ED"/>
    <w:rsid w:val="006738B9"/>
    <w:rsid w:val="00674F9C"/>
    <w:rsid w:val="006751D2"/>
    <w:rsid w:val="006770CA"/>
    <w:rsid w:val="00677145"/>
    <w:rsid w:val="0068199D"/>
    <w:rsid w:val="00686C3A"/>
    <w:rsid w:val="00690E9D"/>
    <w:rsid w:val="00697F82"/>
    <w:rsid w:val="006A0598"/>
    <w:rsid w:val="006A66DA"/>
    <w:rsid w:val="006A7394"/>
    <w:rsid w:val="006B2EDA"/>
    <w:rsid w:val="006B59B9"/>
    <w:rsid w:val="006C0EB6"/>
    <w:rsid w:val="006C0F37"/>
    <w:rsid w:val="006D330F"/>
    <w:rsid w:val="006D6080"/>
    <w:rsid w:val="006E0C6A"/>
    <w:rsid w:val="006E0D9F"/>
    <w:rsid w:val="006E1BD0"/>
    <w:rsid w:val="006E3377"/>
    <w:rsid w:val="006E625F"/>
    <w:rsid w:val="006E6AA7"/>
    <w:rsid w:val="006F5FD0"/>
    <w:rsid w:val="006F7885"/>
    <w:rsid w:val="007046C8"/>
    <w:rsid w:val="00706E7C"/>
    <w:rsid w:val="00710A38"/>
    <w:rsid w:val="007121FB"/>
    <w:rsid w:val="007129D6"/>
    <w:rsid w:val="00712CB3"/>
    <w:rsid w:val="00715755"/>
    <w:rsid w:val="00716D15"/>
    <w:rsid w:val="00731A9A"/>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C352C"/>
    <w:rsid w:val="007D51F2"/>
    <w:rsid w:val="007D559B"/>
    <w:rsid w:val="007D6292"/>
    <w:rsid w:val="007D761E"/>
    <w:rsid w:val="007E6924"/>
    <w:rsid w:val="007F095B"/>
    <w:rsid w:val="007F26E3"/>
    <w:rsid w:val="007F5383"/>
    <w:rsid w:val="007F5C73"/>
    <w:rsid w:val="007F6AA9"/>
    <w:rsid w:val="008006B4"/>
    <w:rsid w:val="00800827"/>
    <w:rsid w:val="008032C2"/>
    <w:rsid w:val="00810582"/>
    <w:rsid w:val="008105D2"/>
    <w:rsid w:val="00813A48"/>
    <w:rsid w:val="008152EF"/>
    <w:rsid w:val="008162F6"/>
    <w:rsid w:val="00817895"/>
    <w:rsid w:val="00817B4A"/>
    <w:rsid w:val="008226F9"/>
    <w:rsid w:val="00822B80"/>
    <w:rsid w:val="008272C0"/>
    <w:rsid w:val="00830801"/>
    <w:rsid w:val="008323D3"/>
    <w:rsid w:val="008351FF"/>
    <w:rsid w:val="00836FC0"/>
    <w:rsid w:val="00845F81"/>
    <w:rsid w:val="00862885"/>
    <w:rsid w:val="0087086B"/>
    <w:rsid w:val="00881C2D"/>
    <w:rsid w:val="00894E29"/>
    <w:rsid w:val="0089693D"/>
    <w:rsid w:val="008A1514"/>
    <w:rsid w:val="008B0830"/>
    <w:rsid w:val="008B6A1D"/>
    <w:rsid w:val="008B77CD"/>
    <w:rsid w:val="008C3178"/>
    <w:rsid w:val="008C6837"/>
    <w:rsid w:val="008C68A0"/>
    <w:rsid w:val="008D1243"/>
    <w:rsid w:val="008D3E45"/>
    <w:rsid w:val="008E2D12"/>
    <w:rsid w:val="008F1932"/>
    <w:rsid w:val="008F294D"/>
    <w:rsid w:val="009055F3"/>
    <w:rsid w:val="009066B6"/>
    <w:rsid w:val="00907556"/>
    <w:rsid w:val="00913817"/>
    <w:rsid w:val="009229A2"/>
    <w:rsid w:val="00925F7F"/>
    <w:rsid w:val="009260B8"/>
    <w:rsid w:val="009268C4"/>
    <w:rsid w:val="0092731B"/>
    <w:rsid w:val="009317C0"/>
    <w:rsid w:val="00933735"/>
    <w:rsid w:val="009352F4"/>
    <w:rsid w:val="00940E1D"/>
    <w:rsid w:val="009510CB"/>
    <w:rsid w:val="00952960"/>
    <w:rsid w:val="00954FB8"/>
    <w:rsid w:val="00956BA0"/>
    <w:rsid w:val="009606B5"/>
    <w:rsid w:val="009707C4"/>
    <w:rsid w:val="00970A93"/>
    <w:rsid w:val="00970B01"/>
    <w:rsid w:val="00971962"/>
    <w:rsid w:val="00971CC5"/>
    <w:rsid w:val="00980AEA"/>
    <w:rsid w:val="00991002"/>
    <w:rsid w:val="00994EA3"/>
    <w:rsid w:val="009A38DE"/>
    <w:rsid w:val="009B06B5"/>
    <w:rsid w:val="009B69BE"/>
    <w:rsid w:val="009B7484"/>
    <w:rsid w:val="009E5BC1"/>
    <w:rsid w:val="009F0852"/>
    <w:rsid w:val="009F128B"/>
    <w:rsid w:val="009F12A5"/>
    <w:rsid w:val="009F5FB4"/>
    <w:rsid w:val="00A00BD5"/>
    <w:rsid w:val="00A021B5"/>
    <w:rsid w:val="00A02E6B"/>
    <w:rsid w:val="00A03055"/>
    <w:rsid w:val="00A046E7"/>
    <w:rsid w:val="00A04B00"/>
    <w:rsid w:val="00A11931"/>
    <w:rsid w:val="00A122E1"/>
    <w:rsid w:val="00A171EA"/>
    <w:rsid w:val="00A22177"/>
    <w:rsid w:val="00A236A4"/>
    <w:rsid w:val="00A27281"/>
    <w:rsid w:val="00A35081"/>
    <w:rsid w:val="00A355F6"/>
    <w:rsid w:val="00A36F1C"/>
    <w:rsid w:val="00A433A6"/>
    <w:rsid w:val="00A43E7A"/>
    <w:rsid w:val="00A44A6E"/>
    <w:rsid w:val="00A46ED3"/>
    <w:rsid w:val="00A504E1"/>
    <w:rsid w:val="00A666EC"/>
    <w:rsid w:val="00A72DF5"/>
    <w:rsid w:val="00A779FE"/>
    <w:rsid w:val="00A77B07"/>
    <w:rsid w:val="00A84E04"/>
    <w:rsid w:val="00A85E8A"/>
    <w:rsid w:val="00A87515"/>
    <w:rsid w:val="00A90227"/>
    <w:rsid w:val="00A94ED6"/>
    <w:rsid w:val="00A97B08"/>
    <w:rsid w:val="00AA5256"/>
    <w:rsid w:val="00AA7F22"/>
    <w:rsid w:val="00AB7F58"/>
    <w:rsid w:val="00AC0D0C"/>
    <w:rsid w:val="00AC4530"/>
    <w:rsid w:val="00AC7E0D"/>
    <w:rsid w:val="00AD1660"/>
    <w:rsid w:val="00AD1E4D"/>
    <w:rsid w:val="00AD5A78"/>
    <w:rsid w:val="00AE1D8D"/>
    <w:rsid w:val="00AE4633"/>
    <w:rsid w:val="00AE651E"/>
    <w:rsid w:val="00AE6A5B"/>
    <w:rsid w:val="00AF0B6B"/>
    <w:rsid w:val="00AF26E4"/>
    <w:rsid w:val="00AF412E"/>
    <w:rsid w:val="00AF7BB3"/>
    <w:rsid w:val="00B00363"/>
    <w:rsid w:val="00B063F9"/>
    <w:rsid w:val="00B06D60"/>
    <w:rsid w:val="00B112A1"/>
    <w:rsid w:val="00B14398"/>
    <w:rsid w:val="00B200AF"/>
    <w:rsid w:val="00B27B8B"/>
    <w:rsid w:val="00B33EE6"/>
    <w:rsid w:val="00B46840"/>
    <w:rsid w:val="00B503CB"/>
    <w:rsid w:val="00B50F8D"/>
    <w:rsid w:val="00B55248"/>
    <w:rsid w:val="00B56366"/>
    <w:rsid w:val="00B60EC5"/>
    <w:rsid w:val="00B644B9"/>
    <w:rsid w:val="00B738A7"/>
    <w:rsid w:val="00B7586A"/>
    <w:rsid w:val="00B766F9"/>
    <w:rsid w:val="00B805A5"/>
    <w:rsid w:val="00B83DA1"/>
    <w:rsid w:val="00B84AED"/>
    <w:rsid w:val="00B9023F"/>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BF6C25"/>
    <w:rsid w:val="00C00D44"/>
    <w:rsid w:val="00C03AF5"/>
    <w:rsid w:val="00C04FCE"/>
    <w:rsid w:val="00C067C5"/>
    <w:rsid w:val="00C0772E"/>
    <w:rsid w:val="00C147B2"/>
    <w:rsid w:val="00C171B6"/>
    <w:rsid w:val="00C2011B"/>
    <w:rsid w:val="00C2062A"/>
    <w:rsid w:val="00C30183"/>
    <w:rsid w:val="00C31064"/>
    <w:rsid w:val="00C316FC"/>
    <w:rsid w:val="00C3644F"/>
    <w:rsid w:val="00C36666"/>
    <w:rsid w:val="00C43AAC"/>
    <w:rsid w:val="00C460D8"/>
    <w:rsid w:val="00C51962"/>
    <w:rsid w:val="00C53CA0"/>
    <w:rsid w:val="00C560F4"/>
    <w:rsid w:val="00C61B8C"/>
    <w:rsid w:val="00C712DE"/>
    <w:rsid w:val="00C836E5"/>
    <w:rsid w:val="00C83C65"/>
    <w:rsid w:val="00C840D0"/>
    <w:rsid w:val="00C84FCE"/>
    <w:rsid w:val="00C867B9"/>
    <w:rsid w:val="00CA3B1B"/>
    <w:rsid w:val="00CB23E3"/>
    <w:rsid w:val="00CB43F5"/>
    <w:rsid w:val="00CB4EFC"/>
    <w:rsid w:val="00CB759D"/>
    <w:rsid w:val="00CB7AAE"/>
    <w:rsid w:val="00CC0A41"/>
    <w:rsid w:val="00CC0D3C"/>
    <w:rsid w:val="00CC3BA0"/>
    <w:rsid w:val="00CC48C9"/>
    <w:rsid w:val="00CC52C3"/>
    <w:rsid w:val="00CD386E"/>
    <w:rsid w:val="00CD765A"/>
    <w:rsid w:val="00CE2609"/>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15DF"/>
    <w:rsid w:val="00D64101"/>
    <w:rsid w:val="00D8773C"/>
    <w:rsid w:val="00D93082"/>
    <w:rsid w:val="00D97139"/>
    <w:rsid w:val="00DA0ABA"/>
    <w:rsid w:val="00DA28BE"/>
    <w:rsid w:val="00DA5FDD"/>
    <w:rsid w:val="00DC0253"/>
    <w:rsid w:val="00DC304F"/>
    <w:rsid w:val="00DC4F70"/>
    <w:rsid w:val="00DC753D"/>
    <w:rsid w:val="00DD0CD4"/>
    <w:rsid w:val="00DF04F0"/>
    <w:rsid w:val="00E147D3"/>
    <w:rsid w:val="00E1782A"/>
    <w:rsid w:val="00E17CCF"/>
    <w:rsid w:val="00E21BC3"/>
    <w:rsid w:val="00E23A94"/>
    <w:rsid w:val="00E30228"/>
    <w:rsid w:val="00E30BB5"/>
    <w:rsid w:val="00E31447"/>
    <w:rsid w:val="00E422A2"/>
    <w:rsid w:val="00E44018"/>
    <w:rsid w:val="00E5220B"/>
    <w:rsid w:val="00E6172B"/>
    <w:rsid w:val="00E6529B"/>
    <w:rsid w:val="00E66A55"/>
    <w:rsid w:val="00E713DA"/>
    <w:rsid w:val="00E71B0C"/>
    <w:rsid w:val="00E813B7"/>
    <w:rsid w:val="00E82874"/>
    <w:rsid w:val="00E845AC"/>
    <w:rsid w:val="00E867FC"/>
    <w:rsid w:val="00E9047D"/>
    <w:rsid w:val="00EA0ACE"/>
    <w:rsid w:val="00EA399C"/>
    <w:rsid w:val="00EB4C19"/>
    <w:rsid w:val="00EC1215"/>
    <w:rsid w:val="00EC20ED"/>
    <w:rsid w:val="00EC7EB7"/>
    <w:rsid w:val="00ED5FA0"/>
    <w:rsid w:val="00EE0A07"/>
    <w:rsid w:val="00EE6E92"/>
    <w:rsid w:val="00EF03C9"/>
    <w:rsid w:val="00EF0A8C"/>
    <w:rsid w:val="00EF6A28"/>
    <w:rsid w:val="00EF6FBF"/>
    <w:rsid w:val="00F014D9"/>
    <w:rsid w:val="00F05BF1"/>
    <w:rsid w:val="00F07EE2"/>
    <w:rsid w:val="00F11A8D"/>
    <w:rsid w:val="00F1778E"/>
    <w:rsid w:val="00F17A90"/>
    <w:rsid w:val="00F233FF"/>
    <w:rsid w:val="00F27C45"/>
    <w:rsid w:val="00F33539"/>
    <w:rsid w:val="00F33C45"/>
    <w:rsid w:val="00F46873"/>
    <w:rsid w:val="00F4786D"/>
    <w:rsid w:val="00F504CC"/>
    <w:rsid w:val="00F50E8B"/>
    <w:rsid w:val="00F60220"/>
    <w:rsid w:val="00F77C8A"/>
    <w:rsid w:val="00F86AAA"/>
    <w:rsid w:val="00F9055E"/>
    <w:rsid w:val="00F91683"/>
    <w:rsid w:val="00F958A9"/>
    <w:rsid w:val="00FA17FC"/>
    <w:rsid w:val="00FB17AC"/>
    <w:rsid w:val="00FB41D6"/>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 w:type="character" w:customStyle="1" w:styleId="HeaderChar">
    <w:name w:val="Header Char"/>
    <w:basedOn w:val="DefaultParagraphFont"/>
    <w:link w:val="Header"/>
    <w:rsid w:val="007E6924"/>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graphs/inforeuro.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chapterTitleCod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group=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DECB5-6D75-4514-A833-7CE91B06422F}">
  <ds:schemaRefs>
    <ds:schemaRef ds:uri="http://schemas.openxmlformats.org/officeDocument/2006/bibliography"/>
  </ds:schemaRefs>
</ds:datastoreItem>
</file>

<file path=customXml/itemProps2.xml><?xml version="1.0" encoding="utf-8"?>
<ds:datastoreItem xmlns:ds="http://schemas.openxmlformats.org/officeDocument/2006/customXml" ds:itemID="{CBBBEECC-A2DE-40A0-BA39-6CBB19D6F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0D90-F33E-42E7-8845-F876A97503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8A099-EAA1-4B8D-97A6-7DB796008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12810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revision>8</cp:revision>
  <cp:lastPrinted>2016-05-31T08:36:00Z</cp:lastPrinted>
  <dcterms:created xsi:type="dcterms:W3CDTF">2020-04-15T15:51:00Z</dcterms:created>
  <dcterms:modified xsi:type="dcterms:W3CDTF">2022-03-01T15:19:00Z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