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8533" w14:textId="059841D6" w:rsidR="008B7455" w:rsidRPr="00C01EEE" w:rsidRDefault="00B13AA7" w:rsidP="001B7F1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C01EEE">
        <w:rPr>
          <w:rFonts w:ascii="Times New Roman" w:hAnsi="Times New Roman"/>
          <w:sz w:val="28"/>
          <w:szCs w:val="28"/>
        </w:rPr>
        <w:t>ANNEX V: BUDGET</w:t>
      </w:r>
    </w:p>
    <w:p w14:paraId="688AFE84" w14:textId="0C85A8DF" w:rsidR="00C01EEE" w:rsidRPr="00C01EEE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C01EEE">
        <w:rPr>
          <w:rFonts w:ascii="Times New Roman" w:hAnsi="Times New Roman"/>
          <w:b/>
          <w:sz w:val="22"/>
          <w:szCs w:val="22"/>
        </w:rPr>
        <w:t xml:space="preserve">Global price: </w:t>
      </w:r>
      <w:r w:rsidRPr="00C01EEE">
        <w:rPr>
          <w:rFonts w:ascii="Times New Roman" w:hAnsi="Times New Roman"/>
          <w:sz w:val="22"/>
          <w:szCs w:val="22"/>
        </w:rPr>
        <w:t>EUR</w:t>
      </w:r>
      <w:r w:rsidR="006B1B7F" w:rsidRPr="00C01EEE">
        <w:rPr>
          <w:rFonts w:ascii="Times New Roman" w:hAnsi="Times New Roman"/>
          <w:sz w:val="22"/>
          <w:szCs w:val="22"/>
        </w:rPr>
        <w:t xml:space="preserve"> </w:t>
      </w:r>
      <w:r w:rsidRPr="00C01EEE">
        <w:rPr>
          <w:rFonts w:ascii="Times New Roman" w:hAnsi="Times New Roman"/>
          <w:b/>
          <w:sz w:val="22"/>
          <w:szCs w:val="22"/>
        </w:rPr>
        <w:t>&lt;amount&gt;</w:t>
      </w:r>
      <w:r w:rsidR="003D13B3" w:rsidRPr="00C01EEE">
        <w:rPr>
          <w:rFonts w:ascii="Times New Roman" w:hAnsi="Times New Roman"/>
          <w:b/>
          <w:sz w:val="22"/>
          <w:szCs w:val="22"/>
        </w:rPr>
        <w:t xml:space="preserve"> </w:t>
      </w:r>
    </w:p>
    <w:p w14:paraId="49308EE4" w14:textId="3C29EE4D" w:rsidR="00C01EEE" w:rsidRPr="00C01EEE" w:rsidRDefault="00C01EEE" w:rsidP="009E0741">
      <w:pPr>
        <w:widowControl w:val="0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C01EEE">
        <w:rPr>
          <w:rFonts w:ascii="Times New Roman" w:hAnsi="Times New Roman"/>
          <w:b/>
          <w:bCs/>
          <w:sz w:val="22"/>
          <w:szCs w:val="22"/>
        </w:rPr>
        <w:t>Lot 1</w:t>
      </w:r>
      <w:r w:rsidRPr="00F62AE9">
        <w:rPr>
          <w:rFonts w:ascii="Times New Roman" w:hAnsi="Times New Roman"/>
          <w:b/>
          <w:bCs/>
          <w:sz w:val="22"/>
          <w:szCs w:val="22"/>
        </w:rPr>
        <w:t>:</w:t>
      </w:r>
      <w:r w:rsidRPr="00F62AE9">
        <w:rPr>
          <w:rFonts w:ascii="Times New Roman" w:hAnsi="Times New Roman"/>
          <w:sz w:val="22"/>
          <w:szCs w:val="22"/>
        </w:rPr>
        <w:t xml:space="preserve"> EUR</w:t>
      </w:r>
      <w:r w:rsidRPr="00C01EEE">
        <w:rPr>
          <w:rFonts w:ascii="Times New Roman" w:hAnsi="Times New Roman"/>
          <w:b/>
          <w:bCs/>
          <w:sz w:val="22"/>
          <w:szCs w:val="22"/>
        </w:rPr>
        <w:t xml:space="preserve"> &lt;amount</w:t>
      </w:r>
      <w:r w:rsidR="00F62AE9">
        <w:rPr>
          <w:rFonts w:ascii="Times New Roman" w:hAnsi="Times New Roman"/>
          <w:b/>
          <w:bCs/>
          <w:sz w:val="22"/>
          <w:szCs w:val="22"/>
        </w:rPr>
        <w:t>&gt;</w:t>
      </w:r>
    </w:p>
    <w:p w14:paraId="4F728E2E" w14:textId="2FA7DC5C" w:rsidR="00C01EEE" w:rsidRPr="00C01EEE" w:rsidRDefault="00C01EEE" w:rsidP="009E0741"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C01EEE">
        <w:rPr>
          <w:rFonts w:ascii="Times New Roman" w:hAnsi="Times New Roman"/>
          <w:b/>
          <w:sz w:val="22"/>
          <w:szCs w:val="22"/>
        </w:rPr>
        <w:t xml:space="preserve">Lot 2: </w:t>
      </w:r>
      <w:r w:rsidRPr="00C01EEE">
        <w:rPr>
          <w:rFonts w:ascii="Times New Roman" w:hAnsi="Times New Roman"/>
          <w:sz w:val="22"/>
          <w:szCs w:val="22"/>
        </w:rPr>
        <w:t xml:space="preserve">EUR </w:t>
      </w:r>
      <w:r w:rsidRPr="00C01EEE">
        <w:rPr>
          <w:rFonts w:ascii="Times New Roman" w:hAnsi="Times New Roman"/>
          <w:b/>
          <w:sz w:val="22"/>
          <w:szCs w:val="22"/>
        </w:rPr>
        <w:t>&lt;amount</w:t>
      </w:r>
      <w:r w:rsidR="00F62AE9">
        <w:rPr>
          <w:rFonts w:ascii="Times New Roman" w:hAnsi="Times New Roman"/>
          <w:b/>
          <w:sz w:val="22"/>
          <w:szCs w:val="22"/>
        </w:rPr>
        <w:t>&gt;</w:t>
      </w:r>
    </w:p>
    <w:p w14:paraId="7368B07C" w14:textId="2F8CD768" w:rsidR="00B5590A" w:rsidRPr="00C01EEE" w:rsidRDefault="00403205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C01EEE">
        <w:rPr>
          <w:rFonts w:ascii="Times New Roman" w:hAnsi="Times New Roman"/>
          <w:sz w:val="22"/>
          <w:szCs w:val="22"/>
        </w:rPr>
        <w:t xml:space="preserve">Note: </w:t>
      </w:r>
      <w:r w:rsidR="00826A52" w:rsidRPr="00C01EEE">
        <w:rPr>
          <w:rFonts w:ascii="Times New Roman" w:hAnsi="Times New Roman"/>
          <w:sz w:val="22"/>
          <w:szCs w:val="22"/>
        </w:rPr>
        <w:t>The price sh</w:t>
      </w:r>
      <w:r w:rsidRPr="00C01EEE">
        <w:rPr>
          <w:rFonts w:ascii="Times New Roman" w:hAnsi="Times New Roman"/>
          <w:sz w:val="22"/>
          <w:szCs w:val="22"/>
        </w:rPr>
        <w:t>all</w:t>
      </w:r>
      <w:r w:rsidR="00826A52" w:rsidRPr="00C01EEE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would be taken into consideration for the financial evaluation.</w:t>
      </w:r>
      <w:r w:rsidR="002A5DB7" w:rsidRPr="00C01EEE">
        <w:rPr>
          <w:rFonts w:ascii="Times New Roman" w:hAnsi="Times New Roman"/>
          <w:sz w:val="22"/>
          <w:szCs w:val="22"/>
        </w:rPr>
        <w:t xml:space="preserve"> </w:t>
      </w:r>
      <w:r w:rsidR="00826A52" w:rsidRPr="00C01EEE">
        <w:rPr>
          <w:rFonts w:ascii="Times New Roman" w:hAnsi="Times New Roman"/>
          <w:sz w:val="22"/>
          <w:szCs w:val="22"/>
        </w:rPr>
        <w:t xml:space="preserve">The amount of VAT/indirect tax, if applicable, must be indicated separately. </w:t>
      </w:r>
      <w:r w:rsidR="004C4C6F" w:rsidRPr="00C01EEE" w:rsidDel="004C4C6F">
        <w:rPr>
          <w:rFonts w:ascii="Times New Roman" w:hAnsi="Times New Roman"/>
          <w:sz w:val="22"/>
          <w:szCs w:val="22"/>
        </w:rPr>
        <w:t xml:space="preserve"> </w:t>
      </w:r>
      <w:r w:rsidR="00B5590A" w:rsidRPr="00C01EEE">
        <w:rPr>
          <w:rFonts w:ascii="Times New Roman" w:hAnsi="Times New Roman"/>
          <w:sz w:val="22"/>
          <w:szCs w:val="22"/>
        </w:rPr>
        <w:t xml:space="preserve">Please include a price breakdown based on the outputs/deliverables in the </w:t>
      </w:r>
      <w:r w:rsidR="00530F86" w:rsidRPr="00C01EEE">
        <w:rPr>
          <w:rFonts w:ascii="Times New Roman" w:hAnsi="Times New Roman"/>
          <w:sz w:val="22"/>
          <w:szCs w:val="22"/>
        </w:rPr>
        <w:t>t</w:t>
      </w:r>
      <w:r w:rsidR="00B5590A" w:rsidRPr="00C01EEE">
        <w:rPr>
          <w:rFonts w:ascii="Times New Roman" w:hAnsi="Times New Roman"/>
          <w:sz w:val="22"/>
          <w:szCs w:val="22"/>
        </w:rPr>
        <w:t xml:space="preserve">erms of </w:t>
      </w:r>
      <w:r w:rsidR="00530F86" w:rsidRPr="00C01EEE">
        <w:rPr>
          <w:rFonts w:ascii="Times New Roman" w:hAnsi="Times New Roman"/>
          <w:sz w:val="22"/>
          <w:szCs w:val="22"/>
        </w:rPr>
        <w:t>r</w:t>
      </w:r>
      <w:r w:rsidR="00B5590A" w:rsidRPr="00C01EEE">
        <w:rPr>
          <w:rFonts w:ascii="Times New Roman" w:hAnsi="Times New Roman"/>
          <w:sz w:val="22"/>
          <w:szCs w:val="22"/>
        </w:rPr>
        <w:t>eference.</w:t>
      </w:r>
    </w:p>
    <w:p w14:paraId="512DACBB" w14:textId="77777777" w:rsidR="00D327A9" w:rsidRDefault="00D327A9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0827BCAA" w14:textId="3E4AA877" w:rsidR="00AD1B9F" w:rsidRPr="00D327A9" w:rsidRDefault="002D5721" w:rsidP="009E0741">
      <w:pPr>
        <w:widowControl w:val="0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D327A9">
        <w:rPr>
          <w:rFonts w:ascii="Times New Roman" w:hAnsi="Times New Roman"/>
          <w:b/>
          <w:bCs/>
          <w:sz w:val="22"/>
          <w:szCs w:val="22"/>
        </w:rPr>
        <w:t>Lot 1</w:t>
      </w:r>
      <w:r w:rsidR="00D327A9" w:rsidRPr="00D327A9">
        <w:rPr>
          <w:rFonts w:ascii="Times New Roman" w:hAnsi="Times New Roman"/>
          <w:b/>
          <w:bCs/>
          <w:sz w:val="22"/>
          <w:szCs w:val="22"/>
        </w:rPr>
        <w:t>.</w:t>
      </w:r>
    </w:p>
    <w:p w14:paraId="2FB30600" w14:textId="184CEA0C" w:rsidR="002D5721" w:rsidRPr="00D327A9" w:rsidRDefault="002D5721" w:rsidP="002D5721">
      <w:pPr>
        <w:widowControl w:val="0"/>
        <w:rPr>
          <w:rFonts w:ascii="Times New Roman" w:hAnsi="Times New Roman"/>
          <w:sz w:val="22"/>
          <w:szCs w:val="22"/>
        </w:rPr>
      </w:pPr>
      <w:r w:rsidRPr="00D327A9">
        <w:rPr>
          <w:rFonts w:ascii="Times New Roman" w:hAnsi="Times New Roman"/>
          <w:sz w:val="22"/>
          <w:szCs w:val="22"/>
        </w:rPr>
        <w:t>Ten outdoor signings, tactile architectural drawings and description in braille, of ten tourists’ landmarks in Bitola</w:t>
      </w:r>
      <w:r w:rsidR="009802A2" w:rsidRPr="00D327A9">
        <w:rPr>
          <w:rFonts w:ascii="Times New Roman" w:hAnsi="Times New Roman"/>
          <w:sz w:val="22"/>
          <w:szCs w:val="22"/>
        </w:rPr>
        <w:t xml:space="preserve"> – </w:t>
      </w:r>
      <w:r w:rsidR="00F432E6" w:rsidRPr="00D327A9">
        <w:rPr>
          <w:rFonts w:ascii="Times New Roman" w:hAnsi="Times New Roman"/>
          <w:sz w:val="22"/>
          <w:szCs w:val="22"/>
        </w:rPr>
        <w:t>EUR</w:t>
      </w:r>
      <w:r w:rsidR="00F432E6" w:rsidRPr="00D327A9">
        <w:rPr>
          <w:rFonts w:ascii="Times New Roman" w:hAnsi="Times New Roman"/>
          <w:b/>
          <w:bCs/>
          <w:sz w:val="22"/>
          <w:szCs w:val="22"/>
        </w:rPr>
        <w:t xml:space="preserve"> &lt;amount&gt;</w:t>
      </w:r>
    </w:p>
    <w:p w14:paraId="01F9F38A" w14:textId="3D805B84" w:rsidR="002D5721" w:rsidRPr="00D327A9" w:rsidRDefault="002D5721" w:rsidP="009802A2">
      <w:pPr>
        <w:widowControl w:val="0"/>
        <w:rPr>
          <w:rFonts w:ascii="Times New Roman" w:hAnsi="Times New Roman"/>
          <w:sz w:val="22"/>
          <w:szCs w:val="22"/>
        </w:rPr>
      </w:pPr>
      <w:r w:rsidRPr="00D327A9">
        <w:rPr>
          <w:rFonts w:ascii="Times New Roman" w:hAnsi="Times New Roman"/>
          <w:sz w:val="22"/>
          <w:szCs w:val="22"/>
        </w:rPr>
        <w:t>One digital accessible guide (mobile and web app) with textual and narrative description (including in sig</w:t>
      </w:r>
      <w:r w:rsidRPr="00D327A9">
        <w:rPr>
          <w:rFonts w:ascii="Times New Roman" w:hAnsi="Times New Roman"/>
          <w:sz w:val="22"/>
          <w:szCs w:val="22"/>
          <w:lang w:val="en-US"/>
        </w:rPr>
        <w:t>n</w:t>
      </w:r>
      <w:r w:rsidRPr="00D327A9">
        <w:rPr>
          <w:rFonts w:ascii="Times New Roman" w:hAnsi="Times New Roman"/>
          <w:sz w:val="22"/>
          <w:szCs w:val="22"/>
        </w:rPr>
        <w:t xml:space="preserve"> language) of ten tourist landmarks in Bitola including info about their accessibility for different groups of people with disabilities. Published, hosted, and maintained in the next 7 years.</w:t>
      </w:r>
      <w:r w:rsidR="00F432E6" w:rsidRPr="00D327A9">
        <w:rPr>
          <w:rFonts w:ascii="Times New Roman" w:hAnsi="Times New Roman"/>
          <w:sz w:val="22"/>
          <w:szCs w:val="22"/>
        </w:rPr>
        <w:t xml:space="preserve"> - EUR</w:t>
      </w:r>
      <w:r w:rsidR="00F432E6" w:rsidRPr="00D327A9">
        <w:rPr>
          <w:rFonts w:ascii="Times New Roman" w:hAnsi="Times New Roman"/>
          <w:b/>
          <w:bCs/>
          <w:sz w:val="22"/>
          <w:szCs w:val="22"/>
        </w:rPr>
        <w:t xml:space="preserve"> &lt;amount&gt;</w:t>
      </w:r>
    </w:p>
    <w:p w14:paraId="02B62BF7" w14:textId="7C2B7C5E" w:rsidR="009802A2" w:rsidRPr="00D327A9" w:rsidRDefault="00F432E6" w:rsidP="009802A2">
      <w:pPr>
        <w:widowControl w:val="0"/>
        <w:rPr>
          <w:rFonts w:ascii="Times New Roman" w:hAnsi="Times New Roman"/>
          <w:b/>
          <w:bCs/>
          <w:sz w:val="22"/>
          <w:szCs w:val="22"/>
        </w:rPr>
      </w:pPr>
      <w:bookmarkStart w:id="0" w:name="_Hlk95953685"/>
      <w:r w:rsidRPr="00D327A9">
        <w:rPr>
          <w:rFonts w:ascii="Times New Roman" w:hAnsi="Times New Roman"/>
          <w:b/>
          <w:bCs/>
          <w:sz w:val="22"/>
          <w:szCs w:val="22"/>
        </w:rPr>
        <w:t>Lot 2</w:t>
      </w:r>
      <w:r w:rsidR="00D327A9">
        <w:rPr>
          <w:rFonts w:ascii="Times New Roman" w:hAnsi="Times New Roman"/>
          <w:b/>
          <w:bCs/>
          <w:sz w:val="22"/>
          <w:szCs w:val="22"/>
        </w:rPr>
        <w:t>.</w:t>
      </w:r>
    </w:p>
    <w:p w14:paraId="4ACD5751" w14:textId="01E7D474" w:rsidR="002D5721" w:rsidRPr="00D327A9" w:rsidRDefault="002D5721" w:rsidP="001B609D">
      <w:pPr>
        <w:widowControl w:val="0"/>
        <w:rPr>
          <w:rFonts w:ascii="Times New Roman" w:hAnsi="Times New Roman"/>
          <w:sz w:val="22"/>
          <w:szCs w:val="22"/>
        </w:rPr>
      </w:pPr>
      <w:r w:rsidRPr="00D327A9">
        <w:rPr>
          <w:rFonts w:ascii="Times New Roman" w:hAnsi="Times New Roman"/>
          <w:sz w:val="22"/>
          <w:szCs w:val="22"/>
        </w:rPr>
        <w:t>Printed tourist guide in braille (including tactile images) about ten tourist landmarks in Bitola in at least 90 copies (50 in Macedonian, 20 in English, and 20 in Greek).</w:t>
      </w:r>
      <w:r w:rsidR="00F432E6" w:rsidRPr="00D327A9">
        <w:rPr>
          <w:rFonts w:ascii="Times New Roman" w:hAnsi="Times New Roman"/>
          <w:sz w:val="22"/>
          <w:szCs w:val="22"/>
        </w:rPr>
        <w:t xml:space="preserve"> </w:t>
      </w:r>
      <w:r w:rsidR="001B609D" w:rsidRPr="00D327A9">
        <w:rPr>
          <w:rFonts w:ascii="Times New Roman" w:hAnsi="Times New Roman"/>
          <w:sz w:val="22"/>
          <w:szCs w:val="22"/>
        </w:rPr>
        <w:t>- EUR</w:t>
      </w:r>
      <w:r w:rsidR="001B609D" w:rsidRPr="00D327A9">
        <w:rPr>
          <w:rFonts w:ascii="Times New Roman" w:hAnsi="Times New Roman"/>
          <w:b/>
          <w:bCs/>
          <w:sz w:val="22"/>
          <w:szCs w:val="22"/>
        </w:rPr>
        <w:t xml:space="preserve"> &lt;amount&gt;</w:t>
      </w:r>
      <w:bookmarkEnd w:id="0"/>
      <w:r w:rsidRPr="00D327A9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26963CE1" w14:textId="58E736FB" w:rsidR="00EC3D84" w:rsidRPr="00D327A9" w:rsidRDefault="00AC40A8" w:rsidP="002C5461">
      <w:pPr>
        <w:widowControl w:val="0"/>
        <w:rPr>
          <w:rFonts w:ascii="Times New Roman" w:hAnsi="Times New Roman"/>
          <w:sz w:val="22"/>
          <w:szCs w:val="22"/>
        </w:rPr>
      </w:pPr>
      <w:r w:rsidRPr="00D327A9">
        <w:rPr>
          <w:rFonts w:ascii="Times New Roman" w:hAnsi="Times New Roman"/>
          <w:sz w:val="22"/>
          <w:szCs w:val="22"/>
        </w:rPr>
        <w:t xml:space="preserve">Four reports in electronic media: </w:t>
      </w:r>
      <w:r w:rsidR="002D5721" w:rsidRPr="00D327A9">
        <w:rPr>
          <w:rFonts w:ascii="Times New Roman" w:hAnsi="Times New Roman"/>
          <w:sz w:val="22"/>
          <w:szCs w:val="22"/>
          <w:lang w:val="en-US"/>
        </w:rPr>
        <w:t>one report in local e-media covering local themes relevant to the city of Bitola about the developed accessible signing</w:t>
      </w:r>
      <w:r w:rsidR="00C74EBA" w:rsidRPr="00D327A9">
        <w:rPr>
          <w:rFonts w:ascii="Times New Roman" w:hAnsi="Times New Roman"/>
          <w:sz w:val="22"/>
          <w:szCs w:val="22"/>
          <w:lang w:val="en-US"/>
        </w:rPr>
        <w:t xml:space="preserve"> and </w:t>
      </w:r>
      <w:r w:rsidRPr="00D327A9">
        <w:rPr>
          <w:rFonts w:ascii="Times New Roman" w:hAnsi="Times New Roman"/>
          <w:sz w:val="22"/>
          <w:szCs w:val="22"/>
          <w:lang w:val="en-US"/>
        </w:rPr>
        <w:t xml:space="preserve">one </w:t>
      </w:r>
      <w:r w:rsidR="00C74EBA" w:rsidRPr="00D327A9">
        <w:rPr>
          <w:rFonts w:ascii="Times New Roman" w:hAnsi="Times New Roman"/>
          <w:sz w:val="22"/>
          <w:szCs w:val="22"/>
          <w:lang w:val="en-US"/>
        </w:rPr>
        <w:t xml:space="preserve">about </w:t>
      </w:r>
      <w:r w:rsidR="002D5721" w:rsidRPr="00D327A9">
        <w:rPr>
          <w:rFonts w:ascii="Times New Roman" w:hAnsi="Times New Roman"/>
          <w:sz w:val="22"/>
          <w:szCs w:val="22"/>
          <w:lang w:val="en-US"/>
        </w:rPr>
        <w:t>the developed accessible digital tourist guide</w:t>
      </w:r>
      <w:r w:rsidR="00015408" w:rsidRPr="00D327A9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2D5721" w:rsidRPr="00D327A9">
        <w:rPr>
          <w:rFonts w:ascii="Times New Roman" w:hAnsi="Times New Roman"/>
          <w:sz w:val="22"/>
          <w:szCs w:val="22"/>
          <w:lang w:val="en-US"/>
        </w:rPr>
        <w:t>two reports in local e-media covering local themes for another two cities in Pelagonia region about accessible signing and accessible digital tourist guide of Bitola</w:t>
      </w:r>
      <w:r w:rsidR="00C74EBA" w:rsidRPr="00D327A9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F0565" w:rsidRPr="00D327A9">
        <w:rPr>
          <w:rFonts w:ascii="Times New Roman" w:hAnsi="Times New Roman"/>
          <w:sz w:val="22"/>
          <w:szCs w:val="22"/>
        </w:rPr>
        <w:t>EUR</w:t>
      </w:r>
      <w:r w:rsidR="009F0565" w:rsidRPr="00D327A9">
        <w:rPr>
          <w:rFonts w:ascii="Times New Roman" w:hAnsi="Times New Roman"/>
          <w:b/>
          <w:bCs/>
          <w:sz w:val="22"/>
          <w:szCs w:val="22"/>
        </w:rPr>
        <w:t xml:space="preserve"> &lt;amount&gt;</w:t>
      </w:r>
      <w:r w:rsidR="002D5721" w:rsidRPr="00D327A9">
        <w:rPr>
          <w:rFonts w:ascii="Times New Roman" w:hAnsi="Times New Roman"/>
          <w:sz w:val="22"/>
          <w:szCs w:val="22"/>
          <w:lang w:val="en-US"/>
        </w:rPr>
        <w:t>,</w:t>
      </w:r>
    </w:p>
    <w:p w14:paraId="172890D7" w14:textId="29D7B503" w:rsidR="002D5721" w:rsidRPr="00D327A9" w:rsidRDefault="002C5461" w:rsidP="002C5461">
      <w:pPr>
        <w:widowControl w:val="0"/>
        <w:rPr>
          <w:rFonts w:ascii="Times New Roman" w:hAnsi="Times New Roman"/>
          <w:sz w:val="22"/>
          <w:szCs w:val="22"/>
        </w:rPr>
      </w:pPr>
      <w:r w:rsidRPr="00D327A9">
        <w:rPr>
          <w:rFonts w:ascii="Times New Roman" w:hAnsi="Times New Roman"/>
          <w:sz w:val="22"/>
          <w:szCs w:val="22"/>
          <w:lang w:val="en-US"/>
        </w:rPr>
        <w:t>T</w:t>
      </w:r>
      <w:r w:rsidR="002D5721" w:rsidRPr="00D327A9">
        <w:rPr>
          <w:rFonts w:ascii="Times New Roman" w:hAnsi="Times New Roman"/>
          <w:sz w:val="22"/>
          <w:szCs w:val="22"/>
          <w:lang w:val="en-US"/>
        </w:rPr>
        <w:t>wo reports in a national printed media, one about the developed accessible signing and one about accessible digital tourist guide of Bitola.</w:t>
      </w:r>
      <w:r w:rsidR="009F0565" w:rsidRPr="00D327A9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F0565" w:rsidRPr="00D327A9">
        <w:rPr>
          <w:rFonts w:ascii="Times New Roman" w:hAnsi="Times New Roman"/>
          <w:sz w:val="22"/>
          <w:szCs w:val="22"/>
        </w:rPr>
        <w:t>EUR</w:t>
      </w:r>
      <w:r w:rsidR="009F0565" w:rsidRPr="00D327A9">
        <w:rPr>
          <w:rFonts w:ascii="Times New Roman" w:hAnsi="Times New Roman"/>
          <w:b/>
          <w:bCs/>
          <w:sz w:val="22"/>
          <w:szCs w:val="22"/>
        </w:rPr>
        <w:t xml:space="preserve"> &lt;amount&gt;</w:t>
      </w:r>
    </w:p>
    <w:p w14:paraId="53FBD87D" w14:textId="1A57D64F" w:rsidR="00632723" w:rsidRPr="00D327A9" w:rsidRDefault="002D5721" w:rsidP="002D572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D327A9">
        <w:rPr>
          <w:rFonts w:ascii="Times New Roman" w:hAnsi="Times New Roman"/>
          <w:sz w:val="22"/>
          <w:szCs w:val="22"/>
        </w:rPr>
        <w:t xml:space="preserve">Awareness campaign in social media – promotion of the project, </w:t>
      </w:r>
      <w:r w:rsidRPr="00D327A9">
        <w:rPr>
          <w:rFonts w:ascii="Times New Roman" w:hAnsi="Times New Roman"/>
          <w:sz w:val="22"/>
          <w:szCs w:val="22"/>
          <w:lang w:val="en-US"/>
        </w:rPr>
        <w:t xml:space="preserve">developed accessible signing and accessible digital tourist guide of Bitola. </w:t>
      </w:r>
      <w:r w:rsidR="00D327A9" w:rsidRPr="00D327A9">
        <w:rPr>
          <w:rFonts w:ascii="Times New Roman" w:hAnsi="Times New Roman"/>
          <w:sz w:val="22"/>
          <w:szCs w:val="22"/>
        </w:rPr>
        <w:t>EUR</w:t>
      </w:r>
      <w:r w:rsidR="00D327A9" w:rsidRPr="00D327A9">
        <w:rPr>
          <w:rFonts w:ascii="Times New Roman" w:hAnsi="Times New Roman"/>
          <w:b/>
          <w:bCs/>
          <w:sz w:val="22"/>
          <w:szCs w:val="22"/>
        </w:rPr>
        <w:t xml:space="preserve"> &lt;amount&gt;</w:t>
      </w:r>
    </w:p>
    <w:p w14:paraId="5EDE9CA2" w14:textId="77777777" w:rsidR="00632723" w:rsidRPr="00D327A9" w:rsidRDefault="0063272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77D836C" w14:textId="1C3E9C2E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C01EEE">
        <w:rPr>
          <w:rFonts w:ascii="Times New Roman" w:hAnsi="Times New Roman"/>
          <w:sz w:val="22"/>
          <w:szCs w:val="22"/>
        </w:rPr>
        <w:t>Name of tenderer:</w:t>
      </w:r>
    </w:p>
    <w:p w14:paraId="2527B2E2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F064A42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86B9" w14:textId="77777777" w:rsidR="00A068AC" w:rsidRDefault="00A068AC">
      <w:r>
        <w:separator/>
      </w:r>
    </w:p>
  </w:endnote>
  <w:endnote w:type="continuationSeparator" w:id="0">
    <w:p w14:paraId="14CE9113" w14:textId="77777777" w:rsidR="00A068AC" w:rsidRDefault="00A0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3BEC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519B8C8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E05F" w14:textId="77777777" w:rsidR="0028253B" w:rsidRPr="00EC1277" w:rsidRDefault="006613AE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December</w:t>
    </w:r>
    <w:r w:rsidR="00A172D7">
      <w:rPr>
        <w:rFonts w:ascii="Times New Roman" w:hAnsi="Times New Roman"/>
        <w:b/>
        <w:snapToGrid w:val="0"/>
        <w:sz w:val="18"/>
        <w:szCs w:val="18"/>
      </w:rPr>
      <w:t xml:space="preserve"> 2021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206AA15D" w14:textId="77777777"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30CF" w14:textId="77777777" w:rsidR="00A068AC" w:rsidRDefault="00A068AC">
      <w:r>
        <w:separator/>
      </w:r>
    </w:p>
  </w:footnote>
  <w:footnote w:type="continuationSeparator" w:id="0">
    <w:p w14:paraId="727165C8" w14:textId="77777777" w:rsidR="00A068AC" w:rsidRDefault="00A0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60B9" w14:textId="09179F44" w:rsidR="000D79D4" w:rsidRDefault="000032F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C59F502" wp14:editId="7E7DF595">
              <wp:simplePos x="0" y="0"/>
              <wp:positionH relativeFrom="column">
                <wp:posOffset>3806190</wp:posOffset>
              </wp:positionH>
              <wp:positionV relativeFrom="paragraph">
                <wp:posOffset>-215265</wp:posOffset>
              </wp:positionV>
              <wp:extent cx="2971800" cy="396240"/>
              <wp:effectExtent l="0" t="0" r="0" b="3810"/>
              <wp:wrapThrough wrapText="bothSides">
                <wp:wrapPolygon edited="0">
                  <wp:start x="277" y="0"/>
                  <wp:lineTo x="277" y="20769"/>
                  <wp:lineTo x="21185" y="20769"/>
                  <wp:lineTo x="21185" y="0"/>
                  <wp:lineTo x="277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424473" w14:textId="77777777" w:rsidR="00E63A55" w:rsidRPr="001810C7" w:rsidRDefault="00E63A55" w:rsidP="00E63A55">
                          <w:pPr>
                            <w:rPr>
                              <w:rFonts w:cs="Arial"/>
                              <w:color w:val="002060"/>
                            </w:rPr>
                          </w:pPr>
                          <w:r w:rsidRPr="001810C7">
                            <w:rPr>
                              <w:rFonts w:cs="Arial"/>
                              <w:color w:val="002060"/>
                            </w:rPr>
                            <w:t>Project co-funded by the European Union and national funds of the participating countries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9F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-16.95pt;width:234pt;height:31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" filled="f" stroked="f">
              <v:textbox>
                <w:txbxContent>
                  <w:p w14:paraId="41424473" w14:textId="77777777" w:rsidR="00E63A55" w:rsidRPr="001810C7" w:rsidRDefault="00E63A55" w:rsidP="00E63A55">
                    <w:pPr>
                      <w:rPr>
                        <w:rFonts w:cs="Arial"/>
                        <w:color w:val="002060"/>
                      </w:rPr>
                    </w:pPr>
                    <w:r w:rsidRPr="001810C7">
                      <w:rPr>
                        <w:rFonts w:cs="Arial"/>
                        <w:color w:val="002060"/>
                      </w:rPr>
                      <w:t>Project co-funded by the European Union and national funds of the participating countries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E63A55">
      <w:rPr>
        <w:noProof/>
      </w:rPr>
      <w:drawing>
        <wp:anchor distT="0" distB="0" distL="114300" distR="114300" simplePos="0" relativeHeight="251658240" behindDoc="0" locked="0" layoutInCell="1" allowOverlap="1" wp14:anchorId="22195799" wp14:editId="032AD35C">
          <wp:simplePos x="0" y="0"/>
          <wp:positionH relativeFrom="column">
            <wp:posOffset>-371475</wp:posOffset>
          </wp:positionH>
          <wp:positionV relativeFrom="paragraph">
            <wp:posOffset>-292735</wp:posOffset>
          </wp:positionV>
          <wp:extent cx="3025140" cy="582930"/>
          <wp:effectExtent l="0" t="0" r="3810" b="762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14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A5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6BC62C2"/>
    <w:multiLevelType w:val="hybridMultilevel"/>
    <w:tmpl w:val="D59C4704"/>
    <w:lvl w:ilvl="0" w:tplc="362803BE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032FF"/>
    <w:rsid w:val="00015408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B609D"/>
    <w:rsid w:val="001B7F11"/>
    <w:rsid w:val="001D269E"/>
    <w:rsid w:val="00231C52"/>
    <w:rsid w:val="002619BE"/>
    <w:rsid w:val="0028253B"/>
    <w:rsid w:val="002A5DB7"/>
    <w:rsid w:val="002B1FF1"/>
    <w:rsid w:val="002C5461"/>
    <w:rsid w:val="002D572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03205"/>
    <w:rsid w:val="004112E6"/>
    <w:rsid w:val="00411C17"/>
    <w:rsid w:val="004925CE"/>
    <w:rsid w:val="004A306D"/>
    <w:rsid w:val="004C4C6F"/>
    <w:rsid w:val="00522D92"/>
    <w:rsid w:val="00530F86"/>
    <w:rsid w:val="00576E3D"/>
    <w:rsid w:val="00582414"/>
    <w:rsid w:val="005A6573"/>
    <w:rsid w:val="005F7632"/>
    <w:rsid w:val="005F7F33"/>
    <w:rsid w:val="00610773"/>
    <w:rsid w:val="0062745D"/>
    <w:rsid w:val="00632723"/>
    <w:rsid w:val="00650185"/>
    <w:rsid w:val="006613AE"/>
    <w:rsid w:val="006B1B7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72332"/>
    <w:rsid w:val="00876D3F"/>
    <w:rsid w:val="008B344D"/>
    <w:rsid w:val="008B7455"/>
    <w:rsid w:val="00935FAE"/>
    <w:rsid w:val="009365F0"/>
    <w:rsid w:val="009802A2"/>
    <w:rsid w:val="00984CBB"/>
    <w:rsid w:val="0099246D"/>
    <w:rsid w:val="009A70B7"/>
    <w:rsid w:val="009D22A3"/>
    <w:rsid w:val="009E0741"/>
    <w:rsid w:val="009E4E09"/>
    <w:rsid w:val="009F0565"/>
    <w:rsid w:val="00A068AC"/>
    <w:rsid w:val="00A11BC2"/>
    <w:rsid w:val="00A16A54"/>
    <w:rsid w:val="00A172D7"/>
    <w:rsid w:val="00A17385"/>
    <w:rsid w:val="00A65B97"/>
    <w:rsid w:val="00A70FCF"/>
    <w:rsid w:val="00A71DC6"/>
    <w:rsid w:val="00A80752"/>
    <w:rsid w:val="00A91C05"/>
    <w:rsid w:val="00AB409B"/>
    <w:rsid w:val="00AC40A8"/>
    <w:rsid w:val="00AD1B9F"/>
    <w:rsid w:val="00AF1C4C"/>
    <w:rsid w:val="00AF6A9B"/>
    <w:rsid w:val="00B13AA7"/>
    <w:rsid w:val="00B42885"/>
    <w:rsid w:val="00B5590A"/>
    <w:rsid w:val="00B67E6A"/>
    <w:rsid w:val="00B91FFB"/>
    <w:rsid w:val="00BC3D17"/>
    <w:rsid w:val="00C01EEE"/>
    <w:rsid w:val="00C30894"/>
    <w:rsid w:val="00C5292C"/>
    <w:rsid w:val="00C74EBA"/>
    <w:rsid w:val="00CD0B6C"/>
    <w:rsid w:val="00CE102E"/>
    <w:rsid w:val="00D01000"/>
    <w:rsid w:val="00D01422"/>
    <w:rsid w:val="00D22D85"/>
    <w:rsid w:val="00D327A9"/>
    <w:rsid w:val="00D42DFE"/>
    <w:rsid w:val="00DA26FF"/>
    <w:rsid w:val="00DF1CC1"/>
    <w:rsid w:val="00E12AD9"/>
    <w:rsid w:val="00E52A7A"/>
    <w:rsid w:val="00E5421E"/>
    <w:rsid w:val="00E63A55"/>
    <w:rsid w:val="00E66B56"/>
    <w:rsid w:val="00EB71F4"/>
    <w:rsid w:val="00EC1277"/>
    <w:rsid w:val="00EC3D84"/>
    <w:rsid w:val="00ED3BC3"/>
    <w:rsid w:val="00ED5444"/>
    <w:rsid w:val="00F02228"/>
    <w:rsid w:val="00F02772"/>
    <w:rsid w:val="00F21813"/>
    <w:rsid w:val="00F32DCE"/>
    <w:rsid w:val="00F432E6"/>
    <w:rsid w:val="00F62AE9"/>
    <w:rsid w:val="00F770D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29B96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D5721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E63A5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F66F9-74A6-4D2C-BD3E-E73EE7C5B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7FE34-230C-4704-91BE-B3F009D728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D187FB-75AB-4B58-BDE5-BD35E4D06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7A60C-EDDB-4318-A2FB-DF5B20B58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revision>4</cp:revision>
  <cp:lastPrinted>2006-01-04T13:01:00Z</cp:lastPrinted>
  <dcterms:created xsi:type="dcterms:W3CDTF">2018-12-18T11:17:00Z</dcterms:created>
  <dcterms:modified xsi:type="dcterms:W3CDTF">2022-03-01T15:27:00Z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